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375"/>
        <w:tblW w:w="9634" w:type="dxa"/>
        <w:tblLook w:val="04A0" w:firstRow="1" w:lastRow="0" w:firstColumn="1" w:lastColumn="0" w:noHBand="0" w:noVBand="1"/>
      </w:tblPr>
      <w:tblGrid>
        <w:gridCol w:w="2779"/>
        <w:gridCol w:w="1469"/>
        <w:gridCol w:w="5386"/>
      </w:tblGrid>
      <w:tr w:rsidR="009B37F9" w:rsidRPr="008D7F80" w:rsidTr="007B30F7">
        <w:trPr>
          <w:trHeight w:val="9270"/>
        </w:trPr>
        <w:tc>
          <w:tcPr>
            <w:tcW w:w="2779" w:type="dxa"/>
          </w:tcPr>
          <w:p w:rsidR="009B37F9" w:rsidRPr="008D7F80" w:rsidRDefault="009B37F9" w:rsidP="007B30F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D7F80">
              <w:rPr>
                <w:rFonts w:ascii="Times New Roman" w:hAnsi="Times New Roman" w:cs="Times New Roman"/>
                <w:b/>
              </w:rPr>
              <w:t>Urządzenia przenośne do monitorowania wy</w:t>
            </w:r>
            <w:r w:rsidR="007B30F7" w:rsidRPr="008D7F80">
              <w:rPr>
                <w:rFonts w:ascii="Times New Roman" w:hAnsi="Times New Roman" w:cs="Times New Roman"/>
                <w:b/>
              </w:rPr>
              <w:t>miany gazowej podczas wysiłku (1</w:t>
            </w:r>
            <w:r w:rsidRPr="008D7F80">
              <w:rPr>
                <w:rFonts w:ascii="Times New Roman" w:hAnsi="Times New Roman" w:cs="Times New Roman"/>
                <w:b/>
              </w:rPr>
              <w:t xml:space="preserve"> szt.)</w:t>
            </w:r>
            <w:bookmarkEnd w:id="0"/>
          </w:p>
        </w:tc>
        <w:tc>
          <w:tcPr>
            <w:tcW w:w="1469" w:type="dxa"/>
          </w:tcPr>
          <w:p w:rsidR="009B37F9" w:rsidRPr="008D7F80" w:rsidRDefault="009B37F9" w:rsidP="007B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Przenośny system do badań wysiłkowych układu krążeniowo-oddechowego z modułem komory mieszania (</w:t>
            </w:r>
            <w:proofErr w:type="spellStart"/>
            <w:r w:rsidRPr="008D7F80">
              <w:rPr>
                <w:rFonts w:ascii="Times New Roman" w:hAnsi="Times New Roman" w:cs="Times New Roman"/>
              </w:rPr>
              <w:t>Mixing</w:t>
            </w:r>
            <w:proofErr w:type="spellEnd"/>
            <w:r w:rsidRPr="008D7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F80">
              <w:rPr>
                <w:rFonts w:ascii="Times New Roman" w:hAnsi="Times New Roman" w:cs="Times New Roman"/>
              </w:rPr>
              <w:t>Chamber</w:t>
            </w:r>
            <w:proofErr w:type="spellEnd"/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Możliwość przeprowadzenia pomiaru: 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pochłaniania tlenu (VO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minutowego zużycia tlenu na 1 kg masy ciała (VO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/kg)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wydalania dwutlenku węgla (VCO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objętości oddechowej płuc (VT)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wentylacji minutowej (VE)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częstości skurczów serca (HR)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współczynnika oddechowego (RQ)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równoważnika wentylacyjnego dla tlenu (VE/VO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Zasilanie bateryjne 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Ciężar jednostki głównej do 100</w:t>
            </w:r>
            <w:r w:rsidR="002F7D30" w:rsidRPr="008D7F80">
              <w:rPr>
                <w:rFonts w:ascii="Times New Roman" w:hAnsi="Times New Roman" w:cs="Times New Roman"/>
              </w:rPr>
              <w:t>0</w:t>
            </w:r>
            <w:r w:rsidRPr="008D7F80">
              <w:rPr>
                <w:rFonts w:ascii="Times New Roman" w:hAnsi="Times New Roman" w:cs="Times New Roman"/>
              </w:rPr>
              <w:t xml:space="preserve"> g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Możliwość przeprowadzenia podglądu parametrów w czasie rzeczywistym 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Maksymalne wymiary jednostki głównej 200x150x80 mm</w:t>
            </w:r>
            <w:r w:rsidR="002F7D30" w:rsidRPr="008D7F80">
              <w:rPr>
                <w:rFonts w:ascii="Times New Roman" w:hAnsi="Times New Roman" w:cs="Times New Roman"/>
              </w:rPr>
              <w:t xml:space="preserve"> lub dwa moduły 120x110x45 mm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Pas do pomiaru tętna z odbiornikiem, 1 szt. - stała transmisja sygnału pracy serca, przesyłanie informacji o tętnie w laboratorium</w:t>
            </w:r>
            <w:r w:rsidR="008D7F80" w:rsidRPr="008D7F80">
              <w:rPr>
                <w:rFonts w:ascii="Times New Roman" w:hAnsi="Times New Roman" w:cs="Times New Roman"/>
              </w:rPr>
              <w:t xml:space="preserve"> (opcjonalnie podczas</w:t>
            </w:r>
            <w:r w:rsidRPr="008D7F80">
              <w:rPr>
                <w:rFonts w:ascii="Times New Roman" w:hAnsi="Times New Roman" w:cs="Times New Roman"/>
              </w:rPr>
              <w:t xml:space="preserve"> pływania</w:t>
            </w:r>
            <w:r w:rsidR="008D7F80"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Zintegrowany system GPS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Dokładność systemu GPS, częstotliwość min. 10Hz, pozycja do 3m, prędkość do 0,5 m/s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Standardowe bezprzewodowe przesyłanie danych do PC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Pokrowiec do transportu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Zestaw do przeprowadzania kalibracji gazowej i objętościowej, 1 </w:t>
            </w:r>
            <w:proofErr w:type="spellStart"/>
            <w:r w:rsidRPr="008D7F80">
              <w:rPr>
                <w:rFonts w:ascii="Times New Roman" w:hAnsi="Times New Roman" w:cs="Times New Roman"/>
              </w:rPr>
              <w:t>kpl</w:t>
            </w:r>
            <w:proofErr w:type="spellEnd"/>
            <w:r w:rsidRPr="008D7F80">
              <w:rPr>
                <w:rFonts w:ascii="Times New Roman" w:hAnsi="Times New Roman" w:cs="Times New Roman"/>
              </w:rPr>
              <w:t xml:space="preserve">. </w:t>
            </w:r>
          </w:p>
          <w:p w:rsidR="007B30F7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Laptop z dyskiem 256 GB SSD, 8 GB RAM z systemem operacyjnym Windows 10 Professional, Procesorem i5 (8 generacji)</w:t>
            </w:r>
          </w:p>
          <w:p w:rsidR="008D7F80" w:rsidRPr="008D7F80" w:rsidRDefault="008D7F80" w:rsidP="008D7F80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b/>
              </w:rPr>
            </w:pPr>
            <w:r w:rsidRPr="008D7F80">
              <w:rPr>
                <w:rFonts w:ascii="Times New Roman" w:hAnsi="Times New Roman" w:cs="Times New Roman"/>
                <w:b/>
              </w:rPr>
              <w:t>OPROGRAMOWANIE KOMPUTEROWE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 xml:space="preserve">Funkcje: 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Podgląd w czasie rzeczywistym przebiegu 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8D7F80">
              <w:rPr>
                <w:rFonts w:ascii="Times New Roman" w:hAnsi="Times New Roman" w:cs="Times New Roman"/>
              </w:rPr>
              <w:t>i CO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 xml:space="preserve"> podczas testu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Krzywe przepływu objętości gazu podczas wysiłku na tle wartości spoczynkowych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Automatyczne i ręczne wyznaczanie progu anaerobowego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definiowania własnych protokołów ćwiczeń wg potrzeb badawczych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natychmiastowego druku wyników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podłączenia do zewnętrznego EKG</w:t>
            </w:r>
          </w:p>
          <w:p w:rsidR="007B30F7" w:rsidRPr="008D7F80" w:rsidRDefault="007B30F7" w:rsidP="007B30F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 xml:space="preserve">Parametry techniczne: 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Analiza tlenu: Czujnik typu elektrochemicznego, zakres pomiaru min. 0 – 100%, czas reakcji </w:t>
            </w:r>
            <w:r w:rsidRPr="008D7F80">
              <w:rPr>
                <w:rFonts w:ascii="Times New Roman" w:hAnsi="Times New Roman" w:cs="Times New Roman"/>
              </w:rPr>
              <w:lastRenderedPageBreak/>
              <w:t xml:space="preserve">(odpowiedzi)  </w:t>
            </w:r>
            <w:r w:rsidRPr="008D7F80">
              <w:rPr>
                <w:rFonts w:ascii="Times New Roman" w:hAnsi="Times New Roman" w:cs="Times New Roman"/>
                <w:lang w:val="cs-CZ"/>
              </w:rPr>
              <w:sym w:font="Symbol" w:char="F0A3"/>
            </w:r>
            <w:r w:rsidRPr="008D7F80">
              <w:rPr>
                <w:rFonts w:ascii="Times New Roman" w:hAnsi="Times New Roman" w:cs="Times New Roman"/>
                <w:lang w:val="cs-CZ"/>
              </w:rPr>
              <w:t xml:space="preserve"> 100 ms</w:t>
            </w:r>
            <w:r w:rsidRPr="008D7F80">
              <w:rPr>
                <w:rFonts w:ascii="Times New Roman" w:hAnsi="Times New Roman" w:cs="Times New Roman"/>
              </w:rPr>
              <w:t xml:space="preserve">, dokładność pomiaru </w:t>
            </w:r>
            <w:r w:rsidRPr="008D7F80">
              <w:rPr>
                <w:rFonts w:ascii="Times New Roman" w:hAnsi="Times New Roman" w:cs="Times New Roman"/>
                <w:lang w:val="cs-CZ"/>
              </w:rPr>
              <w:t>&lt;0,1 %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Analiza dwutlenku węgla: czujnik typu absorber podczerwieni, zakres pomiaru min. 0 – 13%, czas reakcji (odpowiedzi) </w:t>
            </w:r>
            <w:r w:rsidRPr="008D7F80">
              <w:rPr>
                <w:rFonts w:ascii="Times New Roman" w:hAnsi="Times New Roman" w:cs="Times New Roman"/>
                <w:lang w:val="cs-CZ"/>
              </w:rPr>
              <w:sym w:font="Symbol" w:char="F0A3"/>
            </w:r>
            <w:r w:rsidRPr="008D7F80">
              <w:rPr>
                <w:rFonts w:ascii="Times New Roman" w:hAnsi="Times New Roman" w:cs="Times New Roman"/>
                <w:lang w:val="cs-CZ"/>
              </w:rPr>
              <w:t xml:space="preserve"> 100 ms</w:t>
            </w:r>
            <w:r w:rsidRPr="008D7F80">
              <w:rPr>
                <w:rFonts w:ascii="Times New Roman" w:hAnsi="Times New Roman" w:cs="Times New Roman"/>
              </w:rPr>
              <w:t xml:space="preserve">, dokładność pomiaru </w:t>
            </w:r>
            <w:r w:rsidRPr="008D7F80">
              <w:rPr>
                <w:rFonts w:ascii="Times New Roman" w:hAnsi="Times New Roman" w:cs="Times New Roman"/>
                <w:lang w:val="cs-CZ"/>
              </w:rPr>
              <w:t>&lt;0,1%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Pomiar przepływu: cyfrowa dwukierunkowa turbina pomiarowa</w:t>
            </w:r>
            <w:r w:rsidRPr="008D7F80">
              <w:rPr>
                <w:rFonts w:ascii="Times New Roman" w:hAnsi="Times New Roman" w:cs="Times New Roman"/>
                <w:lang w:val="cs-CZ"/>
              </w:rPr>
              <w:t xml:space="preserve"> Ø28mm, d</w:t>
            </w:r>
            <w:r w:rsidRPr="008D7F80">
              <w:rPr>
                <w:rFonts w:ascii="Times New Roman" w:hAnsi="Times New Roman" w:cs="Times New Roman"/>
              </w:rPr>
              <w:t xml:space="preserve">dokładność pomiaru </w:t>
            </w:r>
            <w:r w:rsidRPr="008D7F80">
              <w:rPr>
                <w:rFonts w:ascii="Times New Roman" w:hAnsi="Times New Roman" w:cs="Times New Roman"/>
                <w:lang w:val="cs-CZ"/>
              </w:rPr>
              <w:t>+/- 2%, z</w:t>
            </w:r>
            <w:r w:rsidRPr="008D7F80">
              <w:rPr>
                <w:rFonts w:ascii="Times New Roman" w:hAnsi="Times New Roman" w:cs="Times New Roman"/>
              </w:rPr>
              <w:t xml:space="preserve">zakres przepływu co -20 l/s do +20 l/s, opór przepływomierza </w:t>
            </w:r>
            <w:r w:rsidRPr="008D7F80">
              <w:rPr>
                <w:rFonts w:ascii="Times New Roman" w:hAnsi="Times New Roman" w:cs="Times New Roman"/>
                <w:lang w:val="cs-CZ"/>
              </w:rPr>
              <w:sym w:font="Symbol" w:char="F0A3"/>
            </w:r>
            <w:r w:rsidRPr="008D7F80">
              <w:rPr>
                <w:rFonts w:ascii="Times New Roman" w:hAnsi="Times New Roman" w:cs="Times New Roman"/>
                <w:lang w:val="cs-CZ"/>
              </w:rPr>
              <w:t>0,1 kPa/l/s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>Inne warunki: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telemetrii o zasięgu 1km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synchronizacji danych z urządzeń zewnętrznych oparty o ANT+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Moduł </w:t>
            </w:r>
            <w:proofErr w:type="spellStart"/>
            <w:r w:rsidRPr="008D7F80">
              <w:rPr>
                <w:rFonts w:ascii="Times New Roman" w:hAnsi="Times New Roman" w:cs="Times New Roman"/>
              </w:rPr>
              <w:t>pulsoksymetrii</w:t>
            </w:r>
            <w:proofErr w:type="spellEnd"/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pomiaru w trybie „oddech po oddechu”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spirometrii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dodania przystawki umożliwiającej badanie  pływaków w basenie, bez konieczności zakupu dodatkowego systemu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Jedno, zintegrowane oprogramowanie dla badań w laboratorium i w wodzie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Gwarancja min. 24 miesięcy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Okres pogwarancyjny – dostępność części zapasowych min. 5 lat od dnia zakupu sprzętu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realizacji gwarancji bezpośrednio przez serwis producenta  z pominięciem dostawcy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Szkolenie personelu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</w:tc>
      </w:tr>
      <w:tr w:rsidR="007B30F7" w:rsidRPr="008D7F80" w:rsidTr="007B30F7">
        <w:trPr>
          <w:trHeight w:val="4050"/>
        </w:trPr>
        <w:tc>
          <w:tcPr>
            <w:tcW w:w="2779" w:type="dxa"/>
          </w:tcPr>
          <w:p w:rsidR="007B30F7" w:rsidRPr="008D7F80" w:rsidRDefault="00E5486A" w:rsidP="00E5486A">
            <w:pPr>
              <w:rPr>
                <w:rFonts w:ascii="Times New Roman" w:hAnsi="Times New Roman" w:cs="Times New Roman"/>
                <w:b/>
              </w:rPr>
            </w:pPr>
            <w:r w:rsidRPr="008D7F80">
              <w:rPr>
                <w:rFonts w:ascii="Times New Roman" w:hAnsi="Times New Roman" w:cs="Times New Roman"/>
                <w:b/>
              </w:rPr>
              <w:lastRenderedPageBreak/>
              <w:t xml:space="preserve">Przenośne  urządzenia  do bezinwazyjnego pomiaru objętości i pojemności płuc. </w:t>
            </w:r>
            <w:r w:rsidR="007B30F7" w:rsidRPr="008D7F80">
              <w:rPr>
                <w:rFonts w:ascii="Times New Roman" w:hAnsi="Times New Roman" w:cs="Times New Roman"/>
                <w:b/>
              </w:rPr>
              <w:t>(2 szt.)</w:t>
            </w:r>
          </w:p>
        </w:tc>
        <w:tc>
          <w:tcPr>
            <w:tcW w:w="1469" w:type="dxa"/>
          </w:tcPr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 xml:space="preserve">Funkcje: 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możliwość podłączenia spirometru do komputera połączenie USB oraz </w:t>
            </w:r>
            <w:proofErr w:type="spellStart"/>
            <w:r w:rsidRPr="008D7F8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D7F80">
              <w:rPr>
                <w:rFonts w:ascii="Times New Roman" w:hAnsi="Times New Roman" w:cs="Times New Roman"/>
              </w:rPr>
              <w:t>.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posiada oprogramowanie do analizy wyników badań z użyciem komputera PC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drukarka termiczna w zestawie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posiada wewnętrzny czujnik temperatury dla automatycznej konwersji zgodnej z BTPS.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posiada wewnętrzny akumulator oraz torbę transportową co umożliwia wykonanie badania poza placówką stacjonarną.</w:t>
            </w:r>
          </w:p>
          <w:p w:rsidR="007B30F7" w:rsidRPr="008D7F80" w:rsidRDefault="007B30F7" w:rsidP="007B30F7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>Mierzone parametry:</w:t>
            </w:r>
          </w:p>
          <w:p w:rsidR="007B30F7" w:rsidRPr="008D7F80" w:rsidRDefault="007B30F7" w:rsidP="007B30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FVC, FEV1, FEV1/FVC, FEV1/VC, PEF, FEF25, FEF50, FEF75, PEF, FEV0.5, FEV0.5/FVC, FEV0.75, </w:t>
            </w:r>
            <w:r w:rsidRPr="008D7F80">
              <w:rPr>
                <w:rFonts w:ascii="Times New Roman" w:hAnsi="Times New Roman" w:cs="Times New Roman"/>
              </w:rPr>
              <w:lastRenderedPageBreak/>
              <w:t xml:space="preserve">FEV0.75/FVC, FEV2, FEV2/FVC, FEV3, FEV3/FVC, FEV6, FEV1/ FEV6, FEV1/PEF, FEV1/ FEV0.5, FIVC, FIV1, FIV1/FIVC, PIF, FIF25, FIF50, FIF75, FEF50/FIF50, VC, IVC, IC, ERV, IRV, Rf, VE, VT, </w:t>
            </w:r>
            <w:proofErr w:type="spellStart"/>
            <w:r w:rsidRPr="008D7F80">
              <w:rPr>
                <w:rFonts w:ascii="Times New Roman" w:hAnsi="Times New Roman" w:cs="Times New Roman"/>
              </w:rPr>
              <w:t>tI</w:t>
            </w:r>
            <w:proofErr w:type="spellEnd"/>
            <w:r w:rsidRPr="008D7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7F80">
              <w:rPr>
                <w:rFonts w:ascii="Times New Roman" w:hAnsi="Times New Roman" w:cs="Times New Roman"/>
              </w:rPr>
              <w:t>tE</w:t>
            </w:r>
            <w:proofErr w:type="spellEnd"/>
            <w:r w:rsidRPr="008D7F80">
              <w:rPr>
                <w:rFonts w:ascii="Times New Roman" w:hAnsi="Times New Roman" w:cs="Times New Roman"/>
              </w:rPr>
              <w:t>,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>Inne warunki: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Gwarancja min. 24 miesięcy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Okres pogwarancyjny – dostępność części zapasowych min. 5 lat od dnia zakupu sprzętu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realizacji gwarancji bezpośrednio przez serwis producenta  z pominięciem dostawcy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Szkolenie personelu</w:t>
            </w:r>
          </w:p>
          <w:p w:rsidR="007B30F7" w:rsidRPr="008D7F80" w:rsidRDefault="007B30F7" w:rsidP="007B30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 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</w:tc>
      </w:tr>
    </w:tbl>
    <w:p w:rsidR="00251B33" w:rsidRPr="008D7F80" w:rsidRDefault="00251B33">
      <w:pPr>
        <w:rPr>
          <w:rFonts w:ascii="Times New Roman" w:hAnsi="Times New Roman" w:cs="Times New Roman"/>
        </w:rPr>
      </w:pPr>
    </w:p>
    <w:sectPr w:rsidR="00251B33" w:rsidRPr="008D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139"/>
    <w:multiLevelType w:val="hybridMultilevel"/>
    <w:tmpl w:val="F336E3B2"/>
    <w:lvl w:ilvl="0" w:tplc="AB2EA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CCE"/>
    <w:multiLevelType w:val="hybridMultilevel"/>
    <w:tmpl w:val="8C7E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07B"/>
    <w:multiLevelType w:val="hybridMultilevel"/>
    <w:tmpl w:val="F040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6859"/>
    <w:multiLevelType w:val="hybridMultilevel"/>
    <w:tmpl w:val="B5D0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6715E"/>
    <w:multiLevelType w:val="hybridMultilevel"/>
    <w:tmpl w:val="6A40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F56"/>
    <w:multiLevelType w:val="hybridMultilevel"/>
    <w:tmpl w:val="6A40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01E2"/>
    <w:multiLevelType w:val="hybridMultilevel"/>
    <w:tmpl w:val="C84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9"/>
    <w:rsid w:val="00251B33"/>
    <w:rsid w:val="002F7D30"/>
    <w:rsid w:val="005543EB"/>
    <w:rsid w:val="005D53B4"/>
    <w:rsid w:val="00777538"/>
    <w:rsid w:val="007B30F7"/>
    <w:rsid w:val="008D7F80"/>
    <w:rsid w:val="009B37F9"/>
    <w:rsid w:val="00B0551E"/>
    <w:rsid w:val="00D56DDD"/>
    <w:rsid w:val="00E5486A"/>
    <w:rsid w:val="00E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FDD1-7151-455C-9220-0027C46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tomek</cp:lastModifiedBy>
  <cp:revision>2</cp:revision>
  <dcterms:created xsi:type="dcterms:W3CDTF">2019-04-17T09:41:00Z</dcterms:created>
  <dcterms:modified xsi:type="dcterms:W3CDTF">2019-04-17T09:41:00Z</dcterms:modified>
</cp:coreProperties>
</file>