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754AFCF9" w14:textId="77777777" w:rsidR="00A02524" w:rsidRDefault="00A02524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A02524">
        <w:rPr>
          <w:rFonts w:ascii="Times New Roman" w:hAnsi="Times New Roman"/>
          <w:b/>
          <w:sz w:val="23"/>
          <w:szCs w:val="23"/>
        </w:rPr>
        <w:t>Świadczenie usług medycznych w zakresie diagnostyki laboratoryjnej – analiza przeciwciał IgE, stężenia przeciwciał IgA oraz morfologia krwi.</w:t>
      </w:r>
    </w:p>
    <w:p w14:paraId="4F78D540" w14:textId="061DF4CF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A02524">
        <w:rPr>
          <w:rFonts w:ascii="Times New Roman" w:hAnsi="Times New Roman"/>
          <w:b/>
          <w:sz w:val="23"/>
          <w:szCs w:val="23"/>
          <w:shd w:val="clear" w:color="auto" w:fill="FFFFFF"/>
        </w:rPr>
        <w:t>ZSO/42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2524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23</cp:revision>
  <dcterms:created xsi:type="dcterms:W3CDTF">2023-01-17T10:06:00Z</dcterms:created>
  <dcterms:modified xsi:type="dcterms:W3CDTF">2023-10-19T12:50:00Z</dcterms:modified>
</cp:coreProperties>
</file>