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9EF0" w14:textId="38FF68C1" w:rsidR="00C60751" w:rsidRPr="00CA42FC" w:rsidRDefault="00C60751" w:rsidP="00C6075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CA42F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72544E" w:rsidRPr="00CA42FC">
        <w:rPr>
          <w:rFonts w:ascii="Times New Roman" w:hAnsi="Times New Roman" w:cs="Times New Roman"/>
          <w:b/>
          <w:color w:val="000000" w:themeColor="text1"/>
        </w:rPr>
        <w:t>2</w:t>
      </w:r>
      <w:r w:rsidRPr="00CA42FC">
        <w:rPr>
          <w:rFonts w:ascii="Times New Roman" w:hAnsi="Times New Roman" w:cs="Times New Roman"/>
          <w:b/>
          <w:color w:val="000000" w:themeColor="text1"/>
        </w:rPr>
        <w:t xml:space="preserve"> do Zaproszenia do składania ofert</w:t>
      </w:r>
    </w:p>
    <w:p w14:paraId="5B9C72CE" w14:textId="77777777" w:rsidR="002D1B3D" w:rsidRDefault="002D1B3D" w:rsidP="002D1B3D">
      <w:pPr>
        <w:keepNext/>
        <w:keepLines/>
        <w:spacing w:after="5" w:line="249" w:lineRule="auto"/>
        <w:ind w:left="310" w:right="19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OPIS PRZEDMIOTU ZAMÓWIENIA </w:t>
      </w:r>
    </w:p>
    <w:p w14:paraId="1BED23F4" w14:textId="77777777" w:rsidR="002D1B3D" w:rsidRDefault="002D1B3D" w:rsidP="002D1B3D">
      <w:pPr>
        <w:keepNext/>
        <w:keepLines/>
        <w:spacing w:after="5" w:line="249" w:lineRule="auto"/>
        <w:ind w:left="310" w:right="19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E641B94" w14:textId="7182CE82" w:rsidR="005D0A13" w:rsidRDefault="005D0A13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D1300F">
        <w:rPr>
          <w:rFonts w:ascii="Times New Roman" w:hAnsi="Times New Roman"/>
          <w:b/>
          <w:sz w:val="23"/>
          <w:szCs w:val="23"/>
        </w:rPr>
        <w:t>Świadczenie usług wykonania okresowego (półrocznego i rocznego) przeglądu ogólnobudowlanego budynków Akademii Wychowania Fizycznego im. Jerzego Kukuczki w Katowicach</w:t>
      </w:r>
      <w:r w:rsidRPr="00D1300F" w:rsidDel="00EE4E2D">
        <w:rPr>
          <w:rFonts w:ascii="Times New Roman" w:hAnsi="Times New Roman"/>
          <w:b/>
          <w:sz w:val="23"/>
          <w:szCs w:val="23"/>
        </w:rPr>
        <w:t xml:space="preserve"> </w:t>
      </w:r>
      <w:r w:rsidRPr="00D1300F">
        <w:rPr>
          <w:rFonts w:ascii="Times New Roman" w:hAnsi="Times New Roman"/>
          <w:b/>
          <w:sz w:val="23"/>
          <w:szCs w:val="23"/>
        </w:rPr>
        <w:t>w latach 2023 - 2026</w:t>
      </w:r>
    </w:p>
    <w:p w14:paraId="445FA5A9" w14:textId="0B632043" w:rsidR="005D0A13" w:rsidRDefault="005D0A13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388F651" w14:textId="74D96C0D" w:rsidR="002D1B3D" w:rsidRPr="005D0A13" w:rsidRDefault="005D0A13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D0A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Przedmiotem zamówienia jest usługa </w:t>
      </w:r>
      <w:r w:rsidR="002D1B3D" w:rsidRPr="005D0A1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wykonania okresowego (półrocznego i rocznego) przeglądu budowlanego (bez wykonywania pomiarów instalacji elektrycznych, gazowych, odgromowych oraz przeglądu przewodów kominowych) budynków Akademii Wychowania Fizycznego im. J. Kukuczki w Katowicach w latach 2023-2026. </w:t>
      </w:r>
    </w:p>
    <w:p w14:paraId="685E87D8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8E6494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Przegląd techniczny półroczny  oraz roczny</w:t>
      </w:r>
    </w:p>
    <w:p w14:paraId="2AB545F4" w14:textId="41E203FD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Obiekt przy ul. Mikołowskiej 72</w:t>
      </w:r>
    </w:p>
    <w:p w14:paraId="0749605C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Wielofunkcyjna Hala Sportowa z Pływalnią</w:t>
      </w:r>
    </w:p>
    <w:p w14:paraId="25025E2C" w14:textId="77777777" w:rsidR="002D1B3D" w:rsidRDefault="002D1B3D" w:rsidP="002D1B3D">
      <w:pPr>
        <w:pStyle w:val="Akapitzlist"/>
        <w:numPr>
          <w:ilvl w:val="0"/>
          <w:numId w:val="20"/>
        </w:numPr>
        <w:spacing w:after="0" w:line="254" w:lineRule="auto"/>
        <w:ind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powierzchnia całkowita – 12.256 m2</w:t>
      </w:r>
    </w:p>
    <w:p w14:paraId="66E39307" w14:textId="77777777" w:rsidR="002D1B3D" w:rsidRDefault="002D1B3D" w:rsidP="002D1B3D">
      <w:pPr>
        <w:pStyle w:val="Akapitzlist"/>
        <w:numPr>
          <w:ilvl w:val="0"/>
          <w:numId w:val="20"/>
        </w:numPr>
        <w:spacing w:after="0" w:line="254" w:lineRule="auto"/>
        <w:ind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powierzchnia netto – 10.343,5 m2:</w:t>
      </w:r>
    </w:p>
    <w:p w14:paraId="438C539A" w14:textId="77777777" w:rsidR="002D1B3D" w:rsidRDefault="002D1B3D" w:rsidP="002D1B3D">
      <w:pPr>
        <w:pStyle w:val="Akapitzlist"/>
        <w:numPr>
          <w:ilvl w:val="0"/>
          <w:numId w:val="21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w tym użytkowa – 5.138,4 m2</w:t>
      </w:r>
    </w:p>
    <w:p w14:paraId="79700F89" w14:textId="77777777" w:rsidR="002D1B3D" w:rsidRDefault="002D1B3D" w:rsidP="002D1B3D">
      <w:pPr>
        <w:pStyle w:val="Akapitzlist"/>
        <w:numPr>
          <w:ilvl w:val="0"/>
          <w:numId w:val="21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użytkowa pomocnicza – 1.148,4 m2</w:t>
      </w:r>
    </w:p>
    <w:p w14:paraId="5B10FDBE" w14:textId="77777777" w:rsidR="002D1B3D" w:rsidRDefault="002D1B3D" w:rsidP="002D1B3D">
      <w:pPr>
        <w:pStyle w:val="Akapitzlist"/>
        <w:numPr>
          <w:ilvl w:val="0"/>
          <w:numId w:val="21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usługowa – 1.617,3 m2</w:t>
      </w:r>
    </w:p>
    <w:p w14:paraId="35E34F58" w14:textId="77777777" w:rsidR="002D1B3D" w:rsidRDefault="002D1B3D" w:rsidP="002D1B3D">
      <w:pPr>
        <w:pStyle w:val="Akapitzlist"/>
        <w:numPr>
          <w:ilvl w:val="0"/>
          <w:numId w:val="21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ruchu – 2.439,4 m2</w:t>
      </w:r>
    </w:p>
    <w:p w14:paraId="6C67BD54" w14:textId="77777777" w:rsidR="002D1B3D" w:rsidRDefault="002D1B3D" w:rsidP="002D1B3D">
      <w:pPr>
        <w:pStyle w:val="Akapitzlist"/>
        <w:numPr>
          <w:ilvl w:val="0"/>
          <w:numId w:val="20"/>
        </w:numPr>
        <w:spacing w:after="0" w:line="254" w:lineRule="auto"/>
        <w:ind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powierzchnia zabudowy – 5.602 m2</w:t>
      </w:r>
    </w:p>
    <w:p w14:paraId="62D741F7" w14:textId="77777777" w:rsidR="002D1B3D" w:rsidRDefault="002D1B3D" w:rsidP="002D1B3D">
      <w:pPr>
        <w:pStyle w:val="Akapitzlist"/>
        <w:numPr>
          <w:ilvl w:val="0"/>
          <w:numId w:val="20"/>
        </w:numPr>
        <w:spacing w:after="0" w:line="254" w:lineRule="auto"/>
        <w:ind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kubatura – 82.200 m3</w:t>
      </w:r>
    </w:p>
    <w:p w14:paraId="770A83B5" w14:textId="77777777" w:rsidR="002D1B3D" w:rsidRDefault="002D1B3D" w:rsidP="002D1B3D">
      <w:pPr>
        <w:pStyle w:val="Akapitzlist"/>
        <w:numPr>
          <w:ilvl w:val="0"/>
          <w:numId w:val="20"/>
        </w:numPr>
        <w:spacing w:after="0" w:line="254" w:lineRule="auto"/>
        <w:ind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konstrukcja obiektu:</w:t>
      </w:r>
    </w:p>
    <w:p w14:paraId="696BB4EE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słupy żelbetonowe o przekroju pełnym</w:t>
      </w:r>
    </w:p>
    <w:p w14:paraId="64090A2A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dźwigary dachowe</w:t>
      </w:r>
    </w:p>
    <w:p w14:paraId="49D7E930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konstrukcja pokrycia dachu – membrana bitumiczna na deskach lub blasze trapezowej</w:t>
      </w:r>
    </w:p>
    <w:p w14:paraId="7B19C0E8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termoizolacja pokrycia dachu – styropian 18 cm, pow.52 m2 powierzchnia zabudowy – 69 m2, </w:t>
      </w:r>
    </w:p>
    <w:p w14:paraId="260A88C2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kubatura – 255,3 m3, </w:t>
      </w:r>
    </w:p>
    <w:p w14:paraId="7D2D3358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kondygnacja – 1,</w:t>
      </w:r>
    </w:p>
    <w:p w14:paraId="4A17B200" w14:textId="77777777" w:rsidR="002D1B3D" w:rsidRDefault="002D1B3D" w:rsidP="002D1B3D">
      <w:pPr>
        <w:pStyle w:val="Akapitzlist"/>
        <w:numPr>
          <w:ilvl w:val="0"/>
          <w:numId w:val="22"/>
        </w:numPr>
        <w:spacing w:after="0" w:line="254" w:lineRule="auto"/>
        <w:ind w:left="1418" w:right="15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obciążenia technologiczne podwieszone do dźwigarów</w:t>
      </w:r>
    </w:p>
    <w:p w14:paraId="0A148DBC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518E0FB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II. Przeglądy techniczne roczne</w:t>
      </w:r>
    </w:p>
    <w:p w14:paraId="51FD6540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Obiekty przy ul. Mikołowskiej 72</w:t>
      </w:r>
    </w:p>
    <w:p w14:paraId="01222192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a) Budynek Główny</w:t>
      </w:r>
    </w:p>
    <w:p w14:paraId="156E7EEF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3882 m2, pow.zabudowy – 2199 m2, kubatura – 26032 m3, kondygnacje – 4, częściowo podpiwniczony)</w:t>
      </w:r>
    </w:p>
    <w:p w14:paraId="4B0866B3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b) Budynek dydaktyczny „B”</w:t>
      </w:r>
    </w:p>
    <w:p w14:paraId="1C58B822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1584 m2, pow.zabudowy – 672 m2, kubatura – 3960 m3, kondygnacja – 3)</w:t>
      </w:r>
    </w:p>
    <w:p w14:paraId="129CBD1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c) Hala sportowa</w:t>
      </w:r>
    </w:p>
    <w:p w14:paraId="220E821B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2016 m2, pow.zabudowy – 1672 m2, kubatura – 14000m3, kondygnacje – 2)</w:t>
      </w:r>
    </w:p>
    <w:p w14:paraId="21A2177C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d) Dom Asystenta </w:t>
      </w:r>
    </w:p>
    <w:p w14:paraId="626BA312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290 m2, pow.zabudowy – 121m2, kubatura – 786 m3, kondygnacje – 2+ piwnice)</w:t>
      </w:r>
    </w:p>
    <w:p w14:paraId="565BDE20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e) Dom Studenta </w:t>
      </w:r>
    </w:p>
    <w:p w14:paraId="1D6563BE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lastRenderedPageBreak/>
        <w:t>(pow.użytkowa – 4707,7 m2, pow.zabudowy – 1227,3 m2, kubatura – 28510 m3, kondygnacje – 6 + piwnice)</w:t>
      </w:r>
    </w:p>
    <w:p w14:paraId="55B03C00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f) Centrum badawczo-Rozwojowe</w:t>
      </w:r>
    </w:p>
    <w:p w14:paraId="64FAACE1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1135,5 m2, pow.zabudowy – 820 m2, kubatura – 6987 m3, kondygnacje – 2)</w:t>
      </w:r>
    </w:p>
    <w:p w14:paraId="7FC72E9E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g) Biblioteka</w:t>
      </w:r>
    </w:p>
    <w:p w14:paraId="17545F68" w14:textId="77777777" w:rsidR="002D1B3D" w:rsidRDefault="002D1B3D" w:rsidP="002D1B3D">
      <w:pPr>
        <w:spacing w:after="0" w:line="254" w:lineRule="auto"/>
        <w:ind w:left="567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2200,8 m2, pow.zabudowy – 826,6 m2, kubatura – 9327 m3, kondygnacje – 3)</w:t>
      </w:r>
    </w:p>
    <w:p w14:paraId="1ADCE3F0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72128C9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Obiekty przy ul. Raciborskiej 1</w:t>
      </w:r>
    </w:p>
    <w:p w14:paraId="3E265C2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a) Sala treningowa I</w:t>
      </w:r>
    </w:p>
    <w:p w14:paraId="60A9C8F6" w14:textId="279B1515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 użytkowa – 800 m2, pow.zabudowy – 924 m2, kubatura – 6784 m3, kondygnacja – 1)</w:t>
      </w:r>
    </w:p>
    <w:p w14:paraId="6C8F772E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b) Budynek dydaktyczny </w:t>
      </w:r>
    </w:p>
    <w:p w14:paraId="56DC1C8A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2536 m2, pow.zabudowy – 660 m2, kubatura – 14490 m3, kondygnacje – 3, piwnice)</w:t>
      </w:r>
    </w:p>
    <w:p w14:paraId="553FCBA6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c) Sala treningowa II</w:t>
      </w:r>
    </w:p>
    <w:p w14:paraId="0B748044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 xml:space="preserve"> (pow.użytkowa – 338 m2, pow.zabudowy – 387 m2, kubatura – 2200 m3, kondygnacja – 1, piwnice)</w:t>
      </w:r>
    </w:p>
    <w:p w14:paraId="0F6965D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d) Sala treningowa III (szermiercza) z zapleczem socjalnym</w:t>
      </w:r>
    </w:p>
    <w:p w14:paraId="59744789" w14:textId="109CFDD3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(pow.użytkowa– 481,5 m2, zaplecza – 257,8 m2, pow.zabudowy – 870 m2, kubatura – 2407 m3, zaplecza – 773 m3, kondygnacja-1)</w:t>
      </w:r>
    </w:p>
    <w:p w14:paraId="5CE94496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e) Dom Asystenta</w:t>
      </w:r>
    </w:p>
    <w:p w14:paraId="7BF904F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 użytkowa – 225 m2, pow.zabudowy – 121 m2, kubatura – 1037 m3, kondygnacje – 2)</w:t>
      </w:r>
    </w:p>
    <w:p w14:paraId="1B401C5F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f) Budynek  gospodarczy (Olimpijka)</w:t>
      </w:r>
    </w:p>
    <w:p w14:paraId="058D3B9C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92 m2, pow.zabudowy – 107,5 m2, kubatura – 322 m3, kondygnacja – 1)</w:t>
      </w:r>
    </w:p>
    <w:p w14:paraId="16349402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</w:p>
    <w:p w14:paraId="7A1EDD60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>Obiekty przy ul .Kościuszki 84</w:t>
      </w:r>
    </w:p>
    <w:p w14:paraId="0D1FA51D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a) Pawilon wielofunkcyjny</w:t>
      </w:r>
    </w:p>
    <w:p w14:paraId="120DF91E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1084,4 m2, pow.zabudowy – 780 m2, kubatura – 4351 m3, kondygnacje – 2)</w:t>
      </w:r>
    </w:p>
    <w:p w14:paraId="3D1AB47D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b) Zakole Astrów</w:t>
      </w:r>
    </w:p>
    <w:p w14:paraId="448AE8EA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52 m2, pow.zabudowy – 69 m2, kubatura – 255,3 m3, kondygnacja – 1)</w:t>
      </w:r>
    </w:p>
    <w:p w14:paraId="20163A1E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c) Zakole Fiołków</w:t>
      </w:r>
    </w:p>
    <w:p w14:paraId="0FC053F6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201,4 m2, pow.zabudowy – 354,4 m2, kubatura – 1120,2 m3, kondygnacja – 1)</w:t>
      </w:r>
    </w:p>
    <w:p w14:paraId="6061CDA5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d) Zakole Kościuszki</w:t>
      </w:r>
    </w:p>
    <w:p w14:paraId="231B2582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(pow.użytkowa – 108,4 m2, pow.zabudowy – 140,7 m2, kubatura – 482 m3)</w:t>
      </w:r>
    </w:p>
    <w:p w14:paraId="637ABBA6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</w:p>
    <w:p w14:paraId="767DBDD2" w14:textId="77777777" w:rsidR="002D1B3D" w:rsidRDefault="002D1B3D" w:rsidP="002D1B3D">
      <w:pPr>
        <w:spacing w:after="0" w:line="254" w:lineRule="auto"/>
        <w:ind w:left="370" w:right="159" w:hanging="1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Zakres usługi:</w:t>
      </w:r>
    </w:p>
    <w:p w14:paraId="50E81E6B" w14:textId="4D8F50C8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a)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 xml:space="preserve">Przegląd należy wykonać zgodnie z warunkami ustawy z dn.07.07.1994r. Prawo budowlane (tekst ujednolicony Dz.U. </w:t>
      </w:r>
      <w:r w:rsidR="00C6064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2023 r. poz. 682 ze zm.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), z zachowaniem należytej staranności, zasad bezpieczeństwa, dobrej jakości i zasad wiedzy technicznej</w:t>
      </w:r>
    </w:p>
    <w:p w14:paraId="73E3D5E5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b)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>Wykonawca  przeprowadzający kontrolę okresową obiektu budowlanego powinien przed jej rozpoczęciem zapoznać się z protokołami z poprzedniej kontroli</w:t>
      </w:r>
    </w:p>
    <w:p w14:paraId="0691A908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c)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>Wykonawca dokonuje sprawdzenia stanu technicznego, stanu sprawności technicznej i wartości użytkowej elementów budynku i instalacji narażonych na szkodliwe wpływy atmosferyczne i niszczące działania  występujące podczas użytkowania obiektu</w:t>
      </w:r>
    </w:p>
    <w:p w14:paraId="1D0E4EAE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d)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 xml:space="preserve">Po zakończeniu usługi Wykonawca przekaże Zamawiającemu protokoły przeglądów, które powinny zawierać ocenę stanu technicznego terenu nieruchomości i obiektu, określenie stopnia zużycia i uszkodzeń wszystkich elementów budynku, ustalenie  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lastRenderedPageBreak/>
        <w:t>stopnia pilności koniecznych do wykonania prac wraz z podaniem sposobu zabezpieczenia i dostosowania obiektu i terenu do dalszej eksploatacji</w:t>
      </w:r>
    </w:p>
    <w:p w14:paraId="48ED3A95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e)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>Wykonawca przeprowadzający kontrolę zobowiązany jest do powiadomienia Powiatowego Inspektora nadzoru Budowlanego o przeprowadzonej kontroli budynku wielkopowierzchniowego.</w:t>
      </w:r>
    </w:p>
    <w:p w14:paraId="4FED4A02" w14:textId="77777777" w:rsidR="002D1B3D" w:rsidRDefault="002D1B3D" w:rsidP="002D1B3D">
      <w:pPr>
        <w:spacing w:after="0" w:line="254" w:lineRule="auto"/>
        <w:ind w:left="370" w:right="159" w:firstLine="623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</w:p>
    <w:p w14:paraId="5D3D0D6F" w14:textId="77777777" w:rsidR="002D1B3D" w:rsidRDefault="002D1B3D" w:rsidP="002D1B3D">
      <w:pPr>
        <w:spacing w:after="0" w:line="254" w:lineRule="auto"/>
        <w:ind w:left="370" w:right="159" w:firstLine="623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Kontrole powinny być dokonywane przez osoby posiadające stosowne uprawnienia do wykonania zamówienia oraz spełniać następujące warunki:</w:t>
      </w:r>
    </w:p>
    <w:p w14:paraId="0A394BF2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a)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 xml:space="preserve"> posiadają uprawnienia do wykonywania określonej działalności lub czynności, jeżeli ustawy nakładają obowiązek posiadania takich uprawnień</w:t>
      </w:r>
    </w:p>
    <w:p w14:paraId="5323369D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b)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>posiadają niezbędną wiedzę i doświadczenie oraz dysponują osobami zdolnymi do wykonania zamówienia</w:t>
      </w:r>
    </w:p>
    <w:p w14:paraId="08F30B9E" w14:textId="77777777" w:rsidR="002D1B3D" w:rsidRDefault="002D1B3D" w:rsidP="002D1B3D">
      <w:pPr>
        <w:spacing w:after="0" w:line="254" w:lineRule="auto"/>
        <w:ind w:left="709" w:right="159" w:hanging="349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c)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ab/>
        <w:t>posiadają uprawnienia w specjalności konstrukcyjno-budowlanej</w:t>
      </w:r>
    </w:p>
    <w:p w14:paraId="29C182CC" w14:textId="0DBE5F24" w:rsidR="001117E8" w:rsidRPr="00A94EA6" w:rsidRDefault="001117E8" w:rsidP="002D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17E8" w:rsidRPr="00A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570E" w16cex:dateUtc="2022-05-06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DA695" w16cid:durableId="261F57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35E3" w14:textId="77777777" w:rsidR="00C8350E" w:rsidRDefault="00C8350E" w:rsidP="00184C25">
      <w:pPr>
        <w:spacing w:after="0" w:line="240" w:lineRule="auto"/>
      </w:pPr>
      <w:r>
        <w:separator/>
      </w:r>
    </w:p>
  </w:endnote>
  <w:endnote w:type="continuationSeparator" w:id="0">
    <w:p w14:paraId="22A86396" w14:textId="77777777" w:rsidR="00C8350E" w:rsidRDefault="00C8350E" w:rsidP="001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7977" w14:textId="77777777" w:rsidR="00C8350E" w:rsidRDefault="00C8350E" w:rsidP="00184C25">
      <w:pPr>
        <w:spacing w:after="0" w:line="240" w:lineRule="auto"/>
      </w:pPr>
      <w:r>
        <w:separator/>
      </w:r>
    </w:p>
  </w:footnote>
  <w:footnote w:type="continuationSeparator" w:id="0">
    <w:p w14:paraId="7E5E7026" w14:textId="77777777" w:rsidR="00C8350E" w:rsidRDefault="00C8350E" w:rsidP="0018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F96"/>
    <w:multiLevelType w:val="hybridMultilevel"/>
    <w:tmpl w:val="F7E0D16A"/>
    <w:lvl w:ilvl="0" w:tplc="A9D6258E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D49FC"/>
    <w:multiLevelType w:val="hybridMultilevel"/>
    <w:tmpl w:val="BE8813E0"/>
    <w:lvl w:ilvl="0" w:tplc="0B0400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D72E9"/>
    <w:multiLevelType w:val="hybridMultilevel"/>
    <w:tmpl w:val="F84060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844FC6"/>
    <w:multiLevelType w:val="hybridMultilevel"/>
    <w:tmpl w:val="C284F5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D1AF4"/>
    <w:multiLevelType w:val="hybridMultilevel"/>
    <w:tmpl w:val="57C6C284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72EA"/>
    <w:multiLevelType w:val="hybridMultilevel"/>
    <w:tmpl w:val="77546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536F"/>
    <w:multiLevelType w:val="hybridMultilevel"/>
    <w:tmpl w:val="0248D3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4097"/>
    <w:multiLevelType w:val="hybridMultilevel"/>
    <w:tmpl w:val="2868831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17B3F"/>
    <w:multiLevelType w:val="hybridMultilevel"/>
    <w:tmpl w:val="EF900CE0"/>
    <w:lvl w:ilvl="0" w:tplc="91D654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9157C"/>
    <w:multiLevelType w:val="hybridMultilevel"/>
    <w:tmpl w:val="CB1C9466"/>
    <w:lvl w:ilvl="0" w:tplc="4590194A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FFD0D84"/>
    <w:multiLevelType w:val="hybridMultilevel"/>
    <w:tmpl w:val="91DABC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10F57"/>
    <w:multiLevelType w:val="hybridMultilevel"/>
    <w:tmpl w:val="3CF88160"/>
    <w:lvl w:ilvl="0" w:tplc="1A2C73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7019"/>
    <w:multiLevelType w:val="hybridMultilevel"/>
    <w:tmpl w:val="582E55C2"/>
    <w:lvl w:ilvl="0" w:tplc="5282A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27ED3"/>
    <w:multiLevelType w:val="hybridMultilevel"/>
    <w:tmpl w:val="72E2C2E8"/>
    <w:lvl w:ilvl="0" w:tplc="6EDEA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7054A"/>
    <w:multiLevelType w:val="hybridMultilevel"/>
    <w:tmpl w:val="B46E86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64B9C"/>
    <w:multiLevelType w:val="hybridMultilevel"/>
    <w:tmpl w:val="B0BC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A52AE"/>
    <w:multiLevelType w:val="hybridMultilevel"/>
    <w:tmpl w:val="E178489E"/>
    <w:lvl w:ilvl="0" w:tplc="2214C3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F3A51"/>
    <w:multiLevelType w:val="hybridMultilevel"/>
    <w:tmpl w:val="D46CBF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D04B1"/>
    <w:multiLevelType w:val="hybridMultilevel"/>
    <w:tmpl w:val="7D5CD4BE"/>
    <w:lvl w:ilvl="0" w:tplc="01A09F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72D42"/>
    <w:multiLevelType w:val="hybridMultilevel"/>
    <w:tmpl w:val="EF44AAC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85D7F"/>
    <w:multiLevelType w:val="hybridMultilevel"/>
    <w:tmpl w:val="E0D86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8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6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1"/>
  </w:num>
  <w:num w:numId="17">
    <w:abstractNumId w:val="3"/>
  </w:num>
  <w:num w:numId="18">
    <w:abstractNumId w:val="14"/>
  </w:num>
  <w:num w:numId="19">
    <w:abstractNumId w:val="10"/>
  </w:num>
  <w:num w:numId="20">
    <w:abstractNumId w:val="13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5"/>
    <w:rsid w:val="00017121"/>
    <w:rsid w:val="000171FD"/>
    <w:rsid w:val="000346FE"/>
    <w:rsid w:val="00041EE0"/>
    <w:rsid w:val="00053A63"/>
    <w:rsid w:val="000574D7"/>
    <w:rsid w:val="000927A6"/>
    <w:rsid w:val="000B3DAE"/>
    <w:rsid w:val="000D032E"/>
    <w:rsid w:val="000D41DE"/>
    <w:rsid w:val="000D7D02"/>
    <w:rsid w:val="000E0FD0"/>
    <w:rsid w:val="001117E8"/>
    <w:rsid w:val="00112D9C"/>
    <w:rsid w:val="00150986"/>
    <w:rsid w:val="00156354"/>
    <w:rsid w:val="001604C0"/>
    <w:rsid w:val="00163019"/>
    <w:rsid w:val="00171324"/>
    <w:rsid w:val="00180D41"/>
    <w:rsid w:val="0018330D"/>
    <w:rsid w:val="00184C25"/>
    <w:rsid w:val="00190A6A"/>
    <w:rsid w:val="00196C4B"/>
    <w:rsid w:val="001A12BD"/>
    <w:rsid w:val="001B2C59"/>
    <w:rsid w:val="001C7FC6"/>
    <w:rsid w:val="001D2E69"/>
    <w:rsid w:val="001F56BD"/>
    <w:rsid w:val="00221AF0"/>
    <w:rsid w:val="00242DEF"/>
    <w:rsid w:val="00267EB1"/>
    <w:rsid w:val="002B2FD4"/>
    <w:rsid w:val="002C1245"/>
    <w:rsid w:val="002C74BC"/>
    <w:rsid w:val="002D1B3D"/>
    <w:rsid w:val="002F13D5"/>
    <w:rsid w:val="002F4D18"/>
    <w:rsid w:val="00304686"/>
    <w:rsid w:val="0030542A"/>
    <w:rsid w:val="00340EB0"/>
    <w:rsid w:val="00366D1F"/>
    <w:rsid w:val="00370368"/>
    <w:rsid w:val="003A77EE"/>
    <w:rsid w:val="003C1068"/>
    <w:rsid w:val="003C1CD7"/>
    <w:rsid w:val="003C4646"/>
    <w:rsid w:val="003C689D"/>
    <w:rsid w:val="003D6E47"/>
    <w:rsid w:val="00400F03"/>
    <w:rsid w:val="0041755B"/>
    <w:rsid w:val="00427A44"/>
    <w:rsid w:val="004345AF"/>
    <w:rsid w:val="00445961"/>
    <w:rsid w:val="00474094"/>
    <w:rsid w:val="00492E8D"/>
    <w:rsid w:val="004A306E"/>
    <w:rsid w:val="004A31E3"/>
    <w:rsid w:val="004B2A87"/>
    <w:rsid w:val="004B69D5"/>
    <w:rsid w:val="004D30AD"/>
    <w:rsid w:val="004E2195"/>
    <w:rsid w:val="004E2708"/>
    <w:rsid w:val="00504E7A"/>
    <w:rsid w:val="005063F4"/>
    <w:rsid w:val="005129E5"/>
    <w:rsid w:val="0051414B"/>
    <w:rsid w:val="00540C03"/>
    <w:rsid w:val="005566B3"/>
    <w:rsid w:val="00556997"/>
    <w:rsid w:val="00583838"/>
    <w:rsid w:val="00586D54"/>
    <w:rsid w:val="005A0A42"/>
    <w:rsid w:val="005A6CD3"/>
    <w:rsid w:val="005B5C96"/>
    <w:rsid w:val="005D0A13"/>
    <w:rsid w:val="005D36D3"/>
    <w:rsid w:val="005D4F74"/>
    <w:rsid w:val="005F537B"/>
    <w:rsid w:val="00600CFE"/>
    <w:rsid w:val="00601970"/>
    <w:rsid w:val="00641F7B"/>
    <w:rsid w:val="00646CDE"/>
    <w:rsid w:val="006602C8"/>
    <w:rsid w:val="00661553"/>
    <w:rsid w:val="00662137"/>
    <w:rsid w:val="00683CEA"/>
    <w:rsid w:val="006E4A59"/>
    <w:rsid w:val="006F43D6"/>
    <w:rsid w:val="006F7674"/>
    <w:rsid w:val="0071360F"/>
    <w:rsid w:val="00722014"/>
    <w:rsid w:val="0072544E"/>
    <w:rsid w:val="00726A2B"/>
    <w:rsid w:val="00730A85"/>
    <w:rsid w:val="00734516"/>
    <w:rsid w:val="00736778"/>
    <w:rsid w:val="00755271"/>
    <w:rsid w:val="00763D78"/>
    <w:rsid w:val="00771CE7"/>
    <w:rsid w:val="0079122C"/>
    <w:rsid w:val="007925D6"/>
    <w:rsid w:val="00794297"/>
    <w:rsid w:val="007D7AB2"/>
    <w:rsid w:val="007F776E"/>
    <w:rsid w:val="008101DC"/>
    <w:rsid w:val="00823A89"/>
    <w:rsid w:val="008268E7"/>
    <w:rsid w:val="00850CEC"/>
    <w:rsid w:val="0085131D"/>
    <w:rsid w:val="00866EF5"/>
    <w:rsid w:val="008757CC"/>
    <w:rsid w:val="00884FBE"/>
    <w:rsid w:val="00890068"/>
    <w:rsid w:val="0089579C"/>
    <w:rsid w:val="008E03C8"/>
    <w:rsid w:val="008E73D8"/>
    <w:rsid w:val="008F45C5"/>
    <w:rsid w:val="008F6FA6"/>
    <w:rsid w:val="009072BD"/>
    <w:rsid w:val="00941F32"/>
    <w:rsid w:val="0094450F"/>
    <w:rsid w:val="00946647"/>
    <w:rsid w:val="009748F0"/>
    <w:rsid w:val="009831EA"/>
    <w:rsid w:val="009A4C80"/>
    <w:rsid w:val="009B47E4"/>
    <w:rsid w:val="009C2BAB"/>
    <w:rsid w:val="009C40BE"/>
    <w:rsid w:val="009C6CE4"/>
    <w:rsid w:val="009D477F"/>
    <w:rsid w:val="00A43D8B"/>
    <w:rsid w:val="00A533C6"/>
    <w:rsid w:val="00A61A07"/>
    <w:rsid w:val="00A6372A"/>
    <w:rsid w:val="00A716BD"/>
    <w:rsid w:val="00A94BD5"/>
    <w:rsid w:val="00AD2990"/>
    <w:rsid w:val="00AD2D85"/>
    <w:rsid w:val="00B301E0"/>
    <w:rsid w:val="00B463B0"/>
    <w:rsid w:val="00B464F4"/>
    <w:rsid w:val="00B64A1A"/>
    <w:rsid w:val="00BA2DC4"/>
    <w:rsid w:val="00BB53D5"/>
    <w:rsid w:val="00BC2274"/>
    <w:rsid w:val="00BC6EE0"/>
    <w:rsid w:val="00BD068D"/>
    <w:rsid w:val="00BE2EDF"/>
    <w:rsid w:val="00BF3DCB"/>
    <w:rsid w:val="00BF4BDC"/>
    <w:rsid w:val="00BF5DF5"/>
    <w:rsid w:val="00C2106B"/>
    <w:rsid w:val="00C506B0"/>
    <w:rsid w:val="00C60647"/>
    <w:rsid w:val="00C60751"/>
    <w:rsid w:val="00C64981"/>
    <w:rsid w:val="00C64FE7"/>
    <w:rsid w:val="00C8350E"/>
    <w:rsid w:val="00CA42FC"/>
    <w:rsid w:val="00CC643B"/>
    <w:rsid w:val="00CD2E88"/>
    <w:rsid w:val="00CE6D7C"/>
    <w:rsid w:val="00CF4E0A"/>
    <w:rsid w:val="00D053C0"/>
    <w:rsid w:val="00D25EB0"/>
    <w:rsid w:val="00D31A0F"/>
    <w:rsid w:val="00D34BEC"/>
    <w:rsid w:val="00D474C2"/>
    <w:rsid w:val="00D60EF7"/>
    <w:rsid w:val="00D83F3F"/>
    <w:rsid w:val="00D9548A"/>
    <w:rsid w:val="00DB2ACE"/>
    <w:rsid w:val="00DB7232"/>
    <w:rsid w:val="00DC0691"/>
    <w:rsid w:val="00DD10DA"/>
    <w:rsid w:val="00DE01FF"/>
    <w:rsid w:val="00DE7B70"/>
    <w:rsid w:val="00DF367D"/>
    <w:rsid w:val="00DF78F6"/>
    <w:rsid w:val="00E12E96"/>
    <w:rsid w:val="00E36E2B"/>
    <w:rsid w:val="00E40F7A"/>
    <w:rsid w:val="00E62CE4"/>
    <w:rsid w:val="00E63EFC"/>
    <w:rsid w:val="00E82E54"/>
    <w:rsid w:val="00E85CB8"/>
    <w:rsid w:val="00EA1CD9"/>
    <w:rsid w:val="00ED0AA1"/>
    <w:rsid w:val="00EF190D"/>
    <w:rsid w:val="00F1013C"/>
    <w:rsid w:val="00F349D5"/>
    <w:rsid w:val="00F3563B"/>
    <w:rsid w:val="00F3600C"/>
    <w:rsid w:val="00F36238"/>
    <w:rsid w:val="00F64BE2"/>
    <w:rsid w:val="00F700DD"/>
    <w:rsid w:val="00F71BE4"/>
    <w:rsid w:val="00F9768E"/>
    <w:rsid w:val="00FB4806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0E22"/>
  <w15:docId w15:val="{8FBEBE28-18F4-478E-ADDE-D6D3469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A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0A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25"/>
  </w:style>
  <w:style w:type="paragraph" w:styleId="Stopka">
    <w:name w:val="footer"/>
    <w:basedOn w:val="Normalny"/>
    <w:link w:val="StopkaZnak"/>
    <w:uiPriority w:val="99"/>
    <w:unhideWhenUsed/>
    <w:rsid w:val="0018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25"/>
  </w:style>
  <w:style w:type="table" w:customStyle="1" w:styleId="TableNormal">
    <w:name w:val="Table Normal"/>
    <w:uiPriority w:val="2"/>
    <w:semiHidden/>
    <w:unhideWhenUsed/>
    <w:qFormat/>
    <w:rsid w:val="00586D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Modrzejewska</dc:creator>
  <cp:lastModifiedBy>awf</cp:lastModifiedBy>
  <cp:revision>2</cp:revision>
  <cp:lastPrinted>2022-02-17T07:52:00Z</cp:lastPrinted>
  <dcterms:created xsi:type="dcterms:W3CDTF">2023-05-17T07:50:00Z</dcterms:created>
  <dcterms:modified xsi:type="dcterms:W3CDTF">2023-05-17T07:50:00Z</dcterms:modified>
</cp:coreProperties>
</file>