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AA" w:rsidRDefault="001E35F9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Katowice, </w:t>
      </w:r>
      <w:r w:rsidR="009C131C">
        <w:rPr>
          <w:b/>
          <w:bCs/>
          <w:color w:val="000000"/>
          <w:sz w:val="22"/>
          <w:szCs w:val="22"/>
          <w:lang w:val="en-US"/>
        </w:rPr>
        <w:t>12</w:t>
      </w:r>
      <w:r w:rsidR="008575F2">
        <w:rPr>
          <w:b/>
          <w:bCs/>
          <w:color w:val="000000"/>
          <w:sz w:val="22"/>
          <w:szCs w:val="22"/>
          <w:lang w:val="en-US"/>
        </w:rPr>
        <w:t>.12</w:t>
      </w:r>
      <w:r w:rsidR="001422CF">
        <w:rPr>
          <w:b/>
          <w:bCs/>
          <w:color w:val="000000"/>
          <w:sz w:val="22"/>
          <w:szCs w:val="22"/>
          <w:lang w:val="en-US"/>
        </w:rPr>
        <w:t>.2022</w:t>
      </w:r>
      <w:r w:rsidR="00661CAA">
        <w:rPr>
          <w:b/>
          <w:bCs/>
          <w:color w:val="000000"/>
          <w:sz w:val="22"/>
          <w:szCs w:val="22"/>
          <w:lang w:val="en-US"/>
        </w:rPr>
        <w:t xml:space="preserve"> r. </w:t>
      </w:r>
    </w:p>
    <w:p w:rsidR="00661CAA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Default="001E35F9" w:rsidP="00661CAA">
      <w:pPr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Znak sprawy: </w:t>
      </w:r>
      <w:r w:rsidR="008575F2">
        <w:rPr>
          <w:b/>
          <w:bCs/>
          <w:color w:val="000000"/>
          <w:sz w:val="22"/>
          <w:szCs w:val="22"/>
          <w:lang w:val="en-US"/>
        </w:rPr>
        <w:t>ZSO/42</w:t>
      </w:r>
      <w:r w:rsidR="001422CF">
        <w:rPr>
          <w:b/>
          <w:bCs/>
          <w:color w:val="000000"/>
          <w:sz w:val="22"/>
          <w:szCs w:val="22"/>
          <w:lang w:val="en-US"/>
        </w:rPr>
        <w:t>/2022</w:t>
      </w:r>
    </w:p>
    <w:p w:rsidR="00E40DEE" w:rsidRDefault="00E40DEE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22A04" w:rsidRDefault="00622A04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Default="00661CAA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622A04" w:rsidRDefault="00622A04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22A04" w:rsidRPr="0022034F" w:rsidRDefault="00622A04" w:rsidP="00661CA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661CAA" w:rsidRDefault="00661CAA" w:rsidP="00661CAA">
      <w:pPr>
        <w:snapToGrid w:val="0"/>
        <w:jc w:val="both"/>
        <w:rPr>
          <w:b/>
          <w:bCs/>
        </w:rPr>
      </w:pPr>
    </w:p>
    <w:p w:rsidR="00D2063F" w:rsidRPr="00622A04" w:rsidRDefault="00D2063F" w:rsidP="00D2063F">
      <w:pPr>
        <w:snapToGrid w:val="0"/>
        <w:jc w:val="center"/>
        <w:rPr>
          <w:bCs/>
        </w:rPr>
      </w:pPr>
      <w:r w:rsidRPr="00622A04">
        <w:rPr>
          <w:bCs/>
        </w:rPr>
        <w:t>MODYFIKACJA ZAPROSZENIE DO SKŁADANIA OFERT I ZAŁĄCZNIKÓW</w:t>
      </w:r>
      <w:r w:rsidR="00361744">
        <w:rPr>
          <w:bCs/>
        </w:rPr>
        <w:t xml:space="preserve"> nr 2</w:t>
      </w:r>
      <w:bookmarkStart w:id="0" w:name="_GoBack"/>
      <w:bookmarkEnd w:id="0"/>
    </w:p>
    <w:p w:rsidR="00622A04" w:rsidRDefault="00622A04" w:rsidP="00661CAA">
      <w:pPr>
        <w:snapToGrid w:val="0"/>
        <w:jc w:val="both"/>
        <w:rPr>
          <w:b/>
          <w:bCs/>
        </w:rPr>
      </w:pPr>
    </w:p>
    <w:p w:rsidR="00622A04" w:rsidRDefault="00622A04" w:rsidP="00661CAA">
      <w:pPr>
        <w:snapToGrid w:val="0"/>
        <w:jc w:val="both"/>
        <w:rPr>
          <w:b/>
          <w:bCs/>
        </w:rPr>
      </w:pPr>
    </w:p>
    <w:p w:rsidR="00661CAA" w:rsidRDefault="0029442C" w:rsidP="00622A04">
      <w:pPr>
        <w:jc w:val="both"/>
        <w:rPr>
          <w:b/>
        </w:rPr>
      </w:pPr>
      <w:r w:rsidRPr="00622A04">
        <w:rPr>
          <w:bCs/>
        </w:rPr>
        <w:t>Dotyczy</w:t>
      </w:r>
      <w:r w:rsidR="00622A04" w:rsidRPr="00622A04">
        <w:rPr>
          <w:bCs/>
        </w:rPr>
        <w:t xml:space="preserve"> postępowania pn.:</w:t>
      </w:r>
      <w:r w:rsidR="00622A04">
        <w:rPr>
          <w:b/>
          <w:bCs/>
        </w:rPr>
        <w:t xml:space="preserve"> </w:t>
      </w:r>
      <w:r w:rsidR="008575F2">
        <w:rPr>
          <w:b/>
          <w:sz w:val="23"/>
          <w:szCs w:val="23"/>
        </w:rPr>
        <w:t>Prenumerata drukowanych zagranicznych czasopism naukowych w roku 2023 dla pracowników, studentów i doktorantów Akademii Wychowania Fizycznego im. Jerzego Kukuczki w Katowicach</w:t>
      </w:r>
      <w:r w:rsidR="001E35F9" w:rsidRPr="001E35F9">
        <w:rPr>
          <w:b/>
          <w:sz w:val="23"/>
          <w:szCs w:val="23"/>
        </w:rPr>
        <w:t>.</w:t>
      </w:r>
    </w:p>
    <w:p w:rsidR="001E35F9" w:rsidRDefault="001E35F9" w:rsidP="00661CAA">
      <w:pPr>
        <w:tabs>
          <w:tab w:val="left" w:pos="1640"/>
        </w:tabs>
        <w:jc w:val="center"/>
        <w:rPr>
          <w:b/>
        </w:rPr>
      </w:pPr>
    </w:p>
    <w:p w:rsidR="00FD2BA8" w:rsidRDefault="00FD2BA8" w:rsidP="00661CAA">
      <w:pPr>
        <w:tabs>
          <w:tab w:val="left" w:pos="1640"/>
        </w:tabs>
        <w:jc w:val="both"/>
      </w:pPr>
    </w:p>
    <w:p w:rsidR="001E35F9" w:rsidRDefault="00FD2BA8" w:rsidP="003C784B">
      <w:pPr>
        <w:tabs>
          <w:tab w:val="left" w:pos="0"/>
        </w:tabs>
        <w:jc w:val="both"/>
      </w:pPr>
      <w:r>
        <w:t>Zamawiający informuje</w:t>
      </w:r>
      <w:r w:rsidR="001422CF">
        <w:t xml:space="preserve">, </w:t>
      </w:r>
      <w:r w:rsidR="00151478">
        <w:t xml:space="preserve">iż </w:t>
      </w:r>
      <w:r w:rsidR="009C131C">
        <w:t xml:space="preserve">modyfikacja ulega załącznik nr 6 </w:t>
      </w:r>
      <w:r w:rsidR="00D2063F">
        <w:t xml:space="preserve">do zaproszenia </w:t>
      </w:r>
      <w:r w:rsidR="009C131C">
        <w:t>– wzór umowy</w:t>
      </w:r>
      <w:r w:rsidR="00622A04">
        <w:t>:</w:t>
      </w:r>
    </w:p>
    <w:p w:rsidR="00622A04" w:rsidRDefault="00622A04" w:rsidP="003C784B">
      <w:pPr>
        <w:tabs>
          <w:tab w:val="left" w:pos="0"/>
        </w:tabs>
        <w:jc w:val="both"/>
      </w:pPr>
    </w:p>
    <w:p w:rsidR="00622A04" w:rsidRPr="00D2063F" w:rsidRDefault="00D2063F" w:rsidP="00622A04">
      <w:pPr>
        <w:tabs>
          <w:tab w:val="left" w:pos="0"/>
        </w:tabs>
        <w:jc w:val="both"/>
        <w:rPr>
          <w:u w:val="single"/>
        </w:rPr>
      </w:pPr>
      <w:r w:rsidRPr="00D2063F">
        <w:rPr>
          <w:u w:val="single"/>
        </w:rPr>
        <w:t>Zał, nr 6</w:t>
      </w:r>
      <w:r>
        <w:rPr>
          <w:u w:val="single"/>
        </w:rPr>
        <w:t xml:space="preserve"> do zaproszenia</w:t>
      </w:r>
      <w:r w:rsidRPr="00D2063F">
        <w:rPr>
          <w:u w:val="single"/>
        </w:rPr>
        <w:t xml:space="preserve"> – wzór umowy</w:t>
      </w:r>
    </w:p>
    <w:p w:rsidR="00D2063F" w:rsidRDefault="00D2063F" w:rsidP="00622A04">
      <w:pPr>
        <w:tabs>
          <w:tab w:val="left" w:pos="0"/>
        </w:tabs>
        <w:jc w:val="both"/>
      </w:pPr>
    </w:p>
    <w:p w:rsidR="00622A04" w:rsidRPr="00622A04" w:rsidRDefault="00622A04" w:rsidP="00622A04">
      <w:pPr>
        <w:tabs>
          <w:tab w:val="left" w:pos="0"/>
        </w:tabs>
        <w:jc w:val="both"/>
        <w:rPr>
          <w:b/>
        </w:rPr>
      </w:pPr>
      <w:r w:rsidRPr="00622A04">
        <w:rPr>
          <w:b/>
        </w:rPr>
        <w:t xml:space="preserve">I Było </w:t>
      </w:r>
    </w:p>
    <w:p w:rsidR="009C131C" w:rsidRPr="004D64B9" w:rsidRDefault="009C131C" w:rsidP="009C131C">
      <w:pPr>
        <w:spacing w:line="276" w:lineRule="auto"/>
        <w:jc w:val="center"/>
        <w:rPr>
          <w:b/>
        </w:rPr>
      </w:pPr>
      <w:r w:rsidRPr="004D64B9">
        <w:rPr>
          <w:b/>
        </w:rPr>
        <w:t>§ 3.</w:t>
      </w:r>
    </w:p>
    <w:p w:rsidR="009C131C" w:rsidRPr="004D64B9" w:rsidRDefault="009C131C" w:rsidP="009C131C">
      <w:pPr>
        <w:spacing w:line="276" w:lineRule="auto"/>
        <w:jc w:val="center"/>
        <w:rPr>
          <w:b/>
        </w:rPr>
      </w:pPr>
      <w:r w:rsidRPr="004D64B9">
        <w:rPr>
          <w:b/>
        </w:rPr>
        <w:t>WYNAGRODZENIE I ZASADY PŁATOŚCI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Płatność za prenumeratę o której mowa w ust. 1 następować będzie fakturami miesięcznymi obejmującymi zapłatę za dostarczone w tym czasie egzemplarze wraz z kosztami dostawy.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Dostawa prasy rozliczana będzie według bieżących cen detalicznych egzemplarzy,</w:t>
      </w:r>
      <w:r w:rsidRPr="004D64B9">
        <w:rPr>
          <w:i/>
        </w:rPr>
        <w:t xml:space="preserve"> </w:t>
      </w:r>
      <w:r w:rsidRPr="004D64B9">
        <w:t>uwzględniających wszystkie koszty realizacji dostawy, w tym cła i podatki.</w:t>
      </w:r>
      <w:r w:rsidRPr="004D64B9">
        <w:rPr>
          <w:i/>
        </w:rPr>
        <w:t xml:space="preserve"> 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Ustalony w ust. 1 koszt prenumeraty na 2023 rok jest ostateczny i może ulec zmianie tylko na skutek okoliczności niezależnych od </w:t>
      </w:r>
      <w:r>
        <w:t>Wykonawcy</w:t>
      </w:r>
      <w:r w:rsidRPr="004D64B9">
        <w:t xml:space="preserve"> i niemożliwych do przewidzenia w dniu zawarcia umowy z zastrzeżeniem zapisów §8 i §9.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Wykonawca oświadcza, że wskazany przez niego w umowie numer rachunku bankowego:</w:t>
      </w:r>
    </w:p>
    <w:p w:rsidR="00BE5E6F" w:rsidRPr="004D64B9" w:rsidRDefault="00BE5E6F" w:rsidP="00BE5E6F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autoSpaceDE w:val="0"/>
        <w:autoSpaceDN w:val="0"/>
        <w:spacing w:line="276" w:lineRule="auto"/>
        <w:ind w:left="851"/>
        <w:jc w:val="both"/>
      </w:pPr>
      <w:r w:rsidRPr="004D64B9">
        <w:t>jest zawarty w wykazie, o którym mowa w art. 96 b Ustawy o VAT;</w:t>
      </w:r>
    </w:p>
    <w:p w:rsidR="00BE5E6F" w:rsidRPr="004D64B9" w:rsidRDefault="00BE5E6F" w:rsidP="00BE5E6F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autoSpaceDE w:val="0"/>
        <w:autoSpaceDN w:val="0"/>
        <w:spacing w:line="276" w:lineRule="auto"/>
        <w:ind w:left="851"/>
        <w:jc w:val="both"/>
      </w:pPr>
      <w:r w:rsidRPr="004D64B9">
        <w:t xml:space="preserve">jest aktualny, a w przypadku zmiany numeru rachunku bankowego, na który ma być dokonana płatność, </w:t>
      </w:r>
      <w:r>
        <w:t>Wykonawca</w:t>
      </w:r>
      <w:r w:rsidRPr="004D64B9">
        <w:t xml:space="preserve"> niezwłocznie (jednak nie później niż w terminie 1 dnia od dnia zaistnienia takiej zmiany) poinformuje </w:t>
      </w:r>
      <w:r>
        <w:t>Zamawiającego</w:t>
      </w:r>
      <w:r w:rsidRPr="004D64B9">
        <w:t xml:space="preserve"> o tym fakcie w formie pisemnej pod rygorem nieważności.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Zmiana numeru rachunku bankowego wskazanego w umowie nie wymaga aneksu do umowy, a jedynie pisemnego (pod rygorem nieważności) powiadomienia przez </w:t>
      </w:r>
      <w:r>
        <w:t>Wykonawcę</w:t>
      </w:r>
      <w:r w:rsidRPr="004D64B9">
        <w:t xml:space="preserve"> o takiej zmianie, podpisanego zgodnie z zasadami reprezentacji.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W przypadku, gdy  rachunek bankowy </w:t>
      </w:r>
      <w:r>
        <w:t>Wykonawcy</w:t>
      </w:r>
      <w:r w:rsidRPr="004D64B9">
        <w:t xml:space="preserve">, na który ma być dokonana płatność nie występuje w wykazie, o którym mowa w art. 96 b Ustawy o VAT, </w:t>
      </w:r>
      <w:r>
        <w:t>Zamawiający</w:t>
      </w:r>
      <w:r w:rsidRPr="004D64B9">
        <w:t xml:space="preserve"> ma prawo do wstrzymania płatności do dnia, w którym wskazany do płatności rachunek bankowy </w:t>
      </w:r>
      <w:r>
        <w:t>Wykonawcy</w:t>
      </w:r>
      <w:r w:rsidRPr="004D64B9">
        <w:t xml:space="preserve"> pojawi się w tym wykazie, zaś okres wstrzymania się z płatnością nie będzie uznawany za opóźnienie ani za zwłokę w zapłacie.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>
        <w:t>Wykonawca</w:t>
      </w:r>
      <w:r w:rsidRPr="004D64B9">
        <w:t xml:space="preserve"> zobowiązuje się, że zrekompensuje </w:t>
      </w:r>
      <w:r>
        <w:t>Zamawiającego</w:t>
      </w:r>
      <w:r w:rsidRPr="004D64B9">
        <w:t xml:space="preserve"> wszelkie negatywne konsekwencje finansowe, w tym także z tytułu utraty przez </w:t>
      </w:r>
      <w:r>
        <w:t>Wykonawcę</w:t>
      </w:r>
      <w:r w:rsidRPr="004D64B9">
        <w:t xml:space="preserve"> prawa do odliczenia </w:t>
      </w:r>
      <w:r w:rsidRPr="004D64B9">
        <w:lastRenderedPageBreak/>
        <w:t xml:space="preserve">podatku VAT, powstałe w wyniku uchybień w/w warunków lub powstałe w wyniku zaistnienia okoliczności, o których mowa w art. 88 ust. 3a lub art. 96 ust. 9 i 9a Ustawy o VAT, z tytułu ponoszenia przez </w:t>
      </w:r>
      <w:r>
        <w:t>Wykonawcę</w:t>
      </w:r>
      <w:r w:rsidRPr="004D64B9">
        <w:t xml:space="preserve"> odpowiedzialności, o której mowa w art. 117b ustawy Ordynacja podatkowa oraz z tytułu braku możliwości zaliczenia wydatku do kosztów  podatkowych lub konieczności zmniejszenia kosztów uzyskania przychodów lub zwiększenia przychodów na zasadach określonych w art. 15d ustawy z dnia 15 lutego 1992 r. o podatku dochodowym od osób prawnych. 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Za datę dokonania zapłaty uważa się dzień obciążenia rachunku bankowego </w:t>
      </w:r>
      <w:r>
        <w:t>Zamawiającego</w:t>
      </w:r>
      <w:r w:rsidRPr="004D64B9">
        <w:t>.</w:t>
      </w:r>
    </w:p>
    <w:p w:rsidR="00BE5E6F" w:rsidRPr="004D64B9" w:rsidRDefault="00BE5E6F" w:rsidP="00BE5E6F">
      <w:pPr>
        <w:widowControl w:val="0"/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Strony postanawiają, iż w razie opóźnienia w zapłacie należności wynikających z niniejszej Umowy, Strony będą uprawnione do naliczenia odsetek za opóźnienie w zapłacie w wysokości umownej równej sumie stopy referencyjnej Narodowego Banku Polskiego i 5,5 punktów procentowych.</w:t>
      </w:r>
    </w:p>
    <w:p w:rsidR="00622A04" w:rsidRDefault="00622A04" w:rsidP="003C784B">
      <w:pPr>
        <w:tabs>
          <w:tab w:val="left" w:pos="0"/>
        </w:tabs>
        <w:jc w:val="both"/>
      </w:pPr>
    </w:p>
    <w:p w:rsidR="00B60F6E" w:rsidRPr="00622A04" w:rsidRDefault="00622A04" w:rsidP="00B60F6E">
      <w:pPr>
        <w:tabs>
          <w:tab w:val="left" w:pos="0"/>
        </w:tabs>
        <w:jc w:val="both"/>
        <w:rPr>
          <w:b/>
        </w:rPr>
      </w:pPr>
      <w:r w:rsidRPr="00622A04">
        <w:rPr>
          <w:b/>
        </w:rPr>
        <w:t>I Jest</w:t>
      </w:r>
    </w:p>
    <w:p w:rsidR="009C131C" w:rsidRPr="004D64B9" w:rsidRDefault="009C131C" w:rsidP="009C131C">
      <w:pPr>
        <w:spacing w:line="276" w:lineRule="auto"/>
        <w:jc w:val="center"/>
        <w:rPr>
          <w:b/>
        </w:rPr>
      </w:pPr>
      <w:r w:rsidRPr="004D64B9">
        <w:rPr>
          <w:b/>
        </w:rPr>
        <w:t>§ 3.</w:t>
      </w:r>
    </w:p>
    <w:p w:rsidR="009C131C" w:rsidRPr="004D64B9" w:rsidRDefault="009C131C" w:rsidP="009C131C">
      <w:pPr>
        <w:spacing w:line="276" w:lineRule="auto"/>
        <w:jc w:val="center"/>
        <w:rPr>
          <w:b/>
        </w:rPr>
      </w:pPr>
      <w:r w:rsidRPr="004D64B9">
        <w:rPr>
          <w:b/>
        </w:rPr>
        <w:t>WYNAGRODZENIE I ZASADY PŁATOŚCI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Płatność za prenumeratę o której mowa w ust. 1 </w:t>
      </w:r>
      <w:r>
        <w:t xml:space="preserve">nastąpi w formie przedpłaty za cały okres realizacji umowy z góry, w terminie do 7 dni od dnia podpisania umowy, nie później niż do 31.12.2022r. Koszty prenumeraty o której mowa w ust. 1 obejmują również </w:t>
      </w:r>
      <w:r w:rsidRPr="004D64B9">
        <w:t>koszt</w:t>
      </w:r>
      <w:r>
        <w:t>y</w:t>
      </w:r>
      <w:r w:rsidRPr="004D64B9">
        <w:t xml:space="preserve"> dostawy</w:t>
      </w:r>
      <w:r>
        <w:t xml:space="preserve">, w tym cała i podatki. </w:t>
      </w:r>
    </w:p>
    <w:p w:rsidR="00BE5E6F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 w:hanging="426"/>
        <w:jc w:val="both"/>
      </w:pPr>
      <w:r>
        <w:t>Zamawiającemu przysługuje zwrot kosztu niedostarczonych zeszytów, a faktury korygujące za zeszyty, których Wykonawca nie będzie w stanie dostarczyć, będą wystawiane nie później niż w ciągu 30 dni od powzięcia informacji o zaprzestaniu ukazywania się czasopisma lub o wyczerpaniu nakładu niedostarczonego zeszytu.</w:t>
      </w:r>
    </w:p>
    <w:p w:rsidR="00BE5E6F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 w:hanging="426"/>
        <w:jc w:val="both"/>
      </w:pPr>
      <w:r>
        <w:t>W przypadku anulowania przez Zamawiającego poszczególny dostaw powodujące zmianę wynagrodzenia o którym mowa w ust. 1 nastąpi z uwzględnieniem zapisów §5 ust. 9-12 niniejszej umowy.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Ustalony w ust. 1 koszt prenumeraty na 2023 rok jest ostateczny i może ulec zmianie tylko na skutek okoliczności niezależnych od </w:t>
      </w:r>
      <w:r>
        <w:t>Wykonawcy</w:t>
      </w:r>
      <w:r w:rsidRPr="004D64B9">
        <w:t xml:space="preserve"> i niemożliwych do przewidzenia w dniu zawarcia umowy z zastrzeżeniem zapisów §8 i §9.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Wykonawca oświadcza, że wskazany przez niego w umowie numer rachunku bankowego:</w:t>
      </w:r>
    </w:p>
    <w:p w:rsidR="00BE5E6F" w:rsidRPr="004D64B9" w:rsidRDefault="00BE5E6F" w:rsidP="00BE5E6F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autoSpaceDE w:val="0"/>
        <w:autoSpaceDN w:val="0"/>
        <w:spacing w:line="276" w:lineRule="auto"/>
        <w:ind w:left="851"/>
        <w:jc w:val="both"/>
      </w:pPr>
      <w:r w:rsidRPr="004D64B9">
        <w:t>jest zawarty w wykazie, o którym mowa w art. 96 b Ustawy o VAT;</w:t>
      </w:r>
    </w:p>
    <w:p w:rsidR="00BE5E6F" w:rsidRPr="004D64B9" w:rsidRDefault="00BE5E6F" w:rsidP="00BE5E6F">
      <w:pPr>
        <w:widowControl w:val="0"/>
        <w:numPr>
          <w:ilvl w:val="2"/>
          <w:numId w:val="7"/>
        </w:numPr>
        <w:tabs>
          <w:tab w:val="clear" w:pos="2340"/>
          <w:tab w:val="num" w:pos="851"/>
        </w:tabs>
        <w:suppressAutoHyphens w:val="0"/>
        <w:autoSpaceDE w:val="0"/>
        <w:autoSpaceDN w:val="0"/>
        <w:spacing w:line="276" w:lineRule="auto"/>
        <w:ind w:left="851"/>
        <w:jc w:val="both"/>
      </w:pPr>
      <w:r w:rsidRPr="004D64B9">
        <w:t xml:space="preserve">jest aktualny, a w przypadku zmiany numeru rachunku bankowego, na który ma być dokonana płatność, </w:t>
      </w:r>
      <w:r>
        <w:t>Wykonawca</w:t>
      </w:r>
      <w:r w:rsidRPr="004D64B9">
        <w:t xml:space="preserve"> niezwłocznie (jednak nie później niż w terminie 1 dnia od dnia zaistnienia takiej zmiany) poinformuje </w:t>
      </w:r>
      <w:r>
        <w:t>Zamawiającego</w:t>
      </w:r>
      <w:r w:rsidRPr="004D64B9">
        <w:t xml:space="preserve"> o tym fakcie w formie pisemnej pod rygorem nieważności.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Zmiana numeru rachunku bankowego wskazanego w umowie nie wymaga aneksu do umowy, a jedynie pisemnego (pod rygorem nieważności) powiadomienia przez </w:t>
      </w:r>
      <w:r>
        <w:t>Wykonawcę</w:t>
      </w:r>
      <w:r w:rsidRPr="004D64B9">
        <w:t xml:space="preserve"> o takiej zmianie, podpisanego zgodnie z zasadami reprezentacji.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W przypadku, gdy  rachunek bankowy </w:t>
      </w:r>
      <w:r>
        <w:t>Wykonawcy</w:t>
      </w:r>
      <w:r w:rsidRPr="004D64B9">
        <w:t xml:space="preserve">, na który ma być dokonana płatność nie występuje w wykazie, o którym mowa w art. 96 b Ustawy o VAT, </w:t>
      </w:r>
      <w:r>
        <w:t>Zamawiający</w:t>
      </w:r>
      <w:r w:rsidRPr="004D64B9">
        <w:t xml:space="preserve"> ma prawo do wstrzymania płatności do dnia, w którym wskazany do płatności rachunek bankowy </w:t>
      </w:r>
      <w:r>
        <w:t>Wykonawcy</w:t>
      </w:r>
      <w:r w:rsidRPr="004D64B9">
        <w:t xml:space="preserve"> pojawi się w tym wykazie, zaś okres wstrzymania się z płatnością nie będzie </w:t>
      </w:r>
      <w:r w:rsidRPr="004D64B9">
        <w:lastRenderedPageBreak/>
        <w:t>uznawany za opóźnienie ani za zwłokę w zapłacie.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>
        <w:t>Wykonawca</w:t>
      </w:r>
      <w:r w:rsidRPr="004D64B9">
        <w:t xml:space="preserve"> zobowiązuje się, że zrekompensuje </w:t>
      </w:r>
      <w:r>
        <w:t>Zamawiającego</w:t>
      </w:r>
      <w:r w:rsidRPr="004D64B9">
        <w:t xml:space="preserve"> wszelkie negatywne konsekwencje finansowe, w tym także z tytułu utraty przez </w:t>
      </w:r>
      <w:r>
        <w:t>Wykonawcę</w:t>
      </w:r>
      <w:r w:rsidRPr="004D64B9">
        <w:t xml:space="preserve"> prawa do odliczenia podatku VAT, powstałe w wyniku uchybień w/w warunków lub powstałe w wyniku zaistnienia okoliczności, o których mowa w art. 88 ust. 3a lub art. 96 ust. 9 i 9a Ustawy o VAT, z tytułu ponoszenia przez </w:t>
      </w:r>
      <w:r>
        <w:t>Wykonawcę</w:t>
      </w:r>
      <w:r w:rsidRPr="004D64B9">
        <w:t xml:space="preserve"> odpowiedzialności, o której mowa w art. 117b ustawy Ordynacja podatkowa oraz z tytułu braku możliwości zaliczenia wydatku do kosztów  podatkowych lub konieczności zmniejszenia kosztów uzyskania przychodów lub zwiększenia przychodów na zasadach określonych w art. 15d ustawy z dnia 15 lutego 1992 r. o podatku dochodowym od osób prawnych. 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 xml:space="preserve">Za datę dokonania zapłaty uważa się dzień obciążenia rachunku bankowego </w:t>
      </w:r>
      <w:r>
        <w:t>Zamawiającego</w:t>
      </w:r>
      <w:r w:rsidRPr="004D64B9">
        <w:t>.</w:t>
      </w:r>
    </w:p>
    <w:p w:rsidR="00BE5E6F" w:rsidRPr="004D64B9" w:rsidRDefault="00BE5E6F" w:rsidP="00BE5E6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line="276" w:lineRule="auto"/>
        <w:ind w:left="284"/>
        <w:jc w:val="both"/>
      </w:pPr>
      <w:r w:rsidRPr="004D64B9">
        <w:t>Strony postanawiają, iż w razie opóźnienia w zapłacie należności wynikających z niniejszej Umowy, Strony będą uprawnione do naliczenia odsetek za opóźnienie w zapłacie w wysokości umownej równej sumie stopy referencyjnej Narodowego Banku Polskiego i 5,5 punktów procentowych.</w:t>
      </w:r>
    </w:p>
    <w:p w:rsidR="00622A04" w:rsidRDefault="00622A04" w:rsidP="00B60F6E">
      <w:pPr>
        <w:tabs>
          <w:tab w:val="left" w:pos="0"/>
        </w:tabs>
        <w:jc w:val="both"/>
      </w:pPr>
    </w:p>
    <w:p w:rsidR="00F81A6F" w:rsidRDefault="00F81A6F" w:rsidP="00B60F6E">
      <w:pPr>
        <w:tabs>
          <w:tab w:val="left" w:pos="0"/>
        </w:tabs>
        <w:jc w:val="both"/>
      </w:pPr>
    </w:p>
    <w:p w:rsidR="00BE5E6F" w:rsidRPr="00622A04" w:rsidRDefault="00BE5E6F" w:rsidP="00BE5E6F">
      <w:pPr>
        <w:tabs>
          <w:tab w:val="left" w:pos="0"/>
        </w:tabs>
        <w:jc w:val="both"/>
        <w:rPr>
          <w:b/>
        </w:rPr>
      </w:pPr>
      <w:r w:rsidRPr="00622A04">
        <w:rPr>
          <w:b/>
        </w:rPr>
        <w:t xml:space="preserve">I Było </w:t>
      </w:r>
    </w:p>
    <w:p w:rsidR="00BE5E6F" w:rsidRPr="004D64B9" w:rsidRDefault="00BE5E6F" w:rsidP="00BE5E6F">
      <w:pPr>
        <w:spacing w:line="276" w:lineRule="auto"/>
        <w:jc w:val="center"/>
        <w:rPr>
          <w:b/>
        </w:rPr>
      </w:pPr>
      <w:r w:rsidRPr="004D64B9">
        <w:rPr>
          <w:b/>
        </w:rPr>
        <w:t>§ 5.</w:t>
      </w:r>
    </w:p>
    <w:p w:rsidR="00BE5E6F" w:rsidRPr="004D64B9" w:rsidRDefault="00BE5E6F" w:rsidP="00BE5E6F">
      <w:pPr>
        <w:spacing w:line="276" w:lineRule="auto"/>
        <w:jc w:val="center"/>
      </w:pPr>
      <w:r w:rsidRPr="004D64B9">
        <w:rPr>
          <w:b/>
        </w:rPr>
        <w:t>REKLAMACJE I ROZLICZENIE DOSTAW</w:t>
      </w:r>
    </w:p>
    <w:p w:rsidR="00BE5E6F" w:rsidRPr="004D64B9" w:rsidRDefault="00BE5E6F" w:rsidP="00BE5E6F">
      <w:pPr>
        <w:pStyle w:val="Akapitzlist"/>
        <w:numPr>
          <w:ilvl w:val="0"/>
          <w:numId w:val="13"/>
        </w:numPr>
        <w:suppressAutoHyphens w:val="0"/>
        <w:spacing w:after="200" w:line="120" w:lineRule="atLeast"/>
        <w:ind w:left="426"/>
        <w:jc w:val="both"/>
      </w:pPr>
      <w:r w:rsidRPr="004D64B9">
        <w:t>Anulowanie zamówienia po przekazaniu należności (nawet, jeżeli dostawy się nie rozpoczęły) wymaga uzyskania zgody Wydawcy. Rozliczenie obejmujące m.in. kwoty zwrócone przez Wydawcę z uwzględnieniem dokonanych przez niego potrąceń oraz poniesione koszty - zostanie dokonane w oparciu o dokumenty potwierdzające ich zasadność.</w:t>
      </w:r>
    </w:p>
    <w:p w:rsidR="00F81A6F" w:rsidRDefault="00F81A6F" w:rsidP="00B60F6E">
      <w:pPr>
        <w:tabs>
          <w:tab w:val="left" w:pos="0"/>
        </w:tabs>
        <w:jc w:val="both"/>
      </w:pPr>
    </w:p>
    <w:p w:rsidR="00BE5E6F" w:rsidRPr="00622A04" w:rsidRDefault="00BE5E6F" w:rsidP="00BE5E6F">
      <w:pPr>
        <w:tabs>
          <w:tab w:val="left" w:pos="0"/>
        </w:tabs>
        <w:jc w:val="both"/>
        <w:rPr>
          <w:b/>
        </w:rPr>
      </w:pPr>
      <w:r w:rsidRPr="00622A04">
        <w:rPr>
          <w:b/>
        </w:rPr>
        <w:t xml:space="preserve">I </w:t>
      </w:r>
      <w:r>
        <w:rPr>
          <w:b/>
        </w:rPr>
        <w:t>Jest</w:t>
      </w:r>
      <w:r w:rsidRPr="00622A04">
        <w:rPr>
          <w:b/>
        </w:rPr>
        <w:t xml:space="preserve"> </w:t>
      </w:r>
    </w:p>
    <w:p w:rsidR="00BE5E6F" w:rsidRPr="004D64B9" w:rsidRDefault="00BE5E6F" w:rsidP="00BE5E6F">
      <w:pPr>
        <w:spacing w:line="276" w:lineRule="auto"/>
        <w:jc w:val="center"/>
        <w:rPr>
          <w:b/>
        </w:rPr>
      </w:pPr>
      <w:r w:rsidRPr="004D64B9">
        <w:rPr>
          <w:b/>
        </w:rPr>
        <w:t>§ 5.</w:t>
      </w:r>
    </w:p>
    <w:p w:rsidR="00BE5E6F" w:rsidRPr="004D64B9" w:rsidRDefault="00BE5E6F" w:rsidP="00BE5E6F">
      <w:pPr>
        <w:spacing w:line="276" w:lineRule="auto"/>
        <w:jc w:val="center"/>
      </w:pPr>
      <w:r w:rsidRPr="004D64B9">
        <w:rPr>
          <w:b/>
        </w:rPr>
        <w:t>REKLAMACJE I ROZLICZENIE DOSTAW</w:t>
      </w:r>
    </w:p>
    <w:p w:rsidR="00BE5E6F" w:rsidRPr="004D64B9" w:rsidRDefault="00BE5E6F" w:rsidP="00BE5E6F">
      <w:pPr>
        <w:pStyle w:val="Akapitzlist"/>
        <w:numPr>
          <w:ilvl w:val="0"/>
          <w:numId w:val="14"/>
        </w:numPr>
        <w:suppressAutoHyphens w:val="0"/>
        <w:spacing w:after="200" w:line="120" w:lineRule="atLeast"/>
        <w:ind w:left="426"/>
        <w:jc w:val="both"/>
      </w:pPr>
      <w:r w:rsidRPr="004D64B9">
        <w:t xml:space="preserve">Anulowanie zamówienia po przekazaniu </w:t>
      </w:r>
      <w:r w:rsidRPr="00C731F8">
        <w:t xml:space="preserve">wynagrodzenia o którym mowa w §3 ust. 1 </w:t>
      </w:r>
      <w:r w:rsidRPr="004D64B9">
        <w:t>(nawet, jeżeli dostawy się nie rozpoczęły) wymaga uzyskania zgody Wydawcy. Rozliczenie obejmujące m.in. kwoty zwrócone przez Wydawcę z uwzględnieniem dokonanych przez niego potrąceń oraz poniesione koszty - zostanie dokonane w oparciu o dokumenty potwierdzające ich zasadność.</w:t>
      </w:r>
    </w:p>
    <w:p w:rsidR="00BE5E6F" w:rsidRDefault="00BE5E6F" w:rsidP="00B60F6E">
      <w:pPr>
        <w:tabs>
          <w:tab w:val="left" w:pos="0"/>
        </w:tabs>
        <w:jc w:val="both"/>
      </w:pPr>
    </w:p>
    <w:p w:rsidR="00661CAA" w:rsidRDefault="00622A04" w:rsidP="00661CAA">
      <w:pPr>
        <w:tabs>
          <w:tab w:val="left" w:pos="164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Pozostałe zapisy nie ulegają zmianom.</w:t>
      </w:r>
    </w:p>
    <w:p w:rsidR="00622A04" w:rsidRDefault="00622A04" w:rsidP="00661CAA">
      <w:pPr>
        <w:tabs>
          <w:tab w:val="left" w:pos="1640"/>
        </w:tabs>
        <w:jc w:val="both"/>
        <w:rPr>
          <w:shd w:val="clear" w:color="auto" w:fill="FFFFFF"/>
        </w:rPr>
      </w:pPr>
    </w:p>
    <w:p w:rsidR="000B45BB" w:rsidRDefault="00FD2BA8" w:rsidP="00FD2BA8">
      <w:pPr>
        <w:jc w:val="right"/>
      </w:pPr>
      <w:r>
        <w:t>Zamawiający</w:t>
      </w:r>
    </w:p>
    <w:sectPr w:rsidR="000B45BB" w:rsidSect="00661CAA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93" w:rsidRDefault="00BC4693" w:rsidP="00661CAA">
      <w:r>
        <w:separator/>
      </w:r>
    </w:p>
  </w:endnote>
  <w:endnote w:type="continuationSeparator" w:id="0">
    <w:p w:rsidR="00BC4693" w:rsidRDefault="00BC4693" w:rsidP="0066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93" w:rsidRDefault="00BC4693" w:rsidP="00661CAA">
      <w:r>
        <w:separator/>
      </w:r>
    </w:p>
  </w:footnote>
  <w:footnote w:type="continuationSeparator" w:id="0">
    <w:p w:rsidR="00BC4693" w:rsidRDefault="00BC4693" w:rsidP="0066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24E"/>
    <w:multiLevelType w:val="hybridMultilevel"/>
    <w:tmpl w:val="33B4F04C"/>
    <w:lvl w:ilvl="0" w:tplc="D2B60D1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5264"/>
    <w:multiLevelType w:val="hybridMultilevel"/>
    <w:tmpl w:val="01A8E7C4"/>
    <w:lvl w:ilvl="0" w:tplc="DBFE5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6B8"/>
    <w:multiLevelType w:val="hybridMultilevel"/>
    <w:tmpl w:val="8FBC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0175"/>
    <w:multiLevelType w:val="hybridMultilevel"/>
    <w:tmpl w:val="1428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36A54"/>
    <w:multiLevelType w:val="hybridMultilevel"/>
    <w:tmpl w:val="0D5CC65E"/>
    <w:lvl w:ilvl="0" w:tplc="FE9E9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57133"/>
    <w:multiLevelType w:val="multilevel"/>
    <w:tmpl w:val="A210F2DC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C40B4D"/>
    <w:multiLevelType w:val="hybridMultilevel"/>
    <w:tmpl w:val="4D6213CE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b w:val="0"/>
        <w:i w:val="0"/>
        <w:sz w:val="22"/>
        <w:szCs w:val="22"/>
      </w:rPr>
    </w:lvl>
    <w:lvl w:ilvl="1" w:tplc="D4AA3CEE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D06CF6"/>
    <w:multiLevelType w:val="hybridMultilevel"/>
    <w:tmpl w:val="16CA89D8"/>
    <w:lvl w:ilvl="0" w:tplc="C584D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C5428"/>
    <w:multiLevelType w:val="hybridMultilevel"/>
    <w:tmpl w:val="FF446650"/>
    <w:lvl w:ilvl="0" w:tplc="6338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E566D"/>
    <w:multiLevelType w:val="hybridMultilevel"/>
    <w:tmpl w:val="8FC4C7A6"/>
    <w:lvl w:ilvl="0" w:tplc="A33265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4883"/>
    <w:multiLevelType w:val="multilevel"/>
    <w:tmpl w:val="FE662660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F744DD"/>
    <w:multiLevelType w:val="hybridMultilevel"/>
    <w:tmpl w:val="E374732C"/>
    <w:lvl w:ilvl="0" w:tplc="FA066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E6205"/>
    <w:multiLevelType w:val="hybridMultilevel"/>
    <w:tmpl w:val="3B92C388"/>
    <w:lvl w:ilvl="0" w:tplc="68867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1B50"/>
    <w:multiLevelType w:val="hybridMultilevel"/>
    <w:tmpl w:val="26200DFA"/>
    <w:lvl w:ilvl="0" w:tplc="1D8268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D"/>
    <w:rsid w:val="000822DB"/>
    <w:rsid w:val="000B45BB"/>
    <w:rsid w:val="001422CF"/>
    <w:rsid w:val="00146E93"/>
    <w:rsid w:val="00151478"/>
    <w:rsid w:val="001A44B7"/>
    <w:rsid w:val="001D5DB1"/>
    <w:rsid w:val="001E35F9"/>
    <w:rsid w:val="001F3985"/>
    <w:rsid w:val="00261B07"/>
    <w:rsid w:val="0029442C"/>
    <w:rsid w:val="00295C19"/>
    <w:rsid w:val="003212A4"/>
    <w:rsid w:val="00326386"/>
    <w:rsid w:val="00361744"/>
    <w:rsid w:val="003B44C5"/>
    <w:rsid w:val="003C784B"/>
    <w:rsid w:val="00461A35"/>
    <w:rsid w:val="004646C9"/>
    <w:rsid w:val="004A63BC"/>
    <w:rsid w:val="004B50BC"/>
    <w:rsid w:val="004D1465"/>
    <w:rsid w:val="004F7E0B"/>
    <w:rsid w:val="005D7CF5"/>
    <w:rsid w:val="00622A04"/>
    <w:rsid w:val="00661CAA"/>
    <w:rsid w:val="0067282F"/>
    <w:rsid w:val="00676DA8"/>
    <w:rsid w:val="006813F1"/>
    <w:rsid w:val="006B46ED"/>
    <w:rsid w:val="006E40C8"/>
    <w:rsid w:val="006F03A0"/>
    <w:rsid w:val="007350ED"/>
    <w:rsid w:val="00772994"/>
    <w:rsid w:val="00791753"/>
    <w:rsid w:val="00854E40"/>
    <w:rsid w:val="008575F2"/>
    <w:rsid w:val="0086217D"/>
    <w:rsid w:val="00875EBD"/>
    <w:rsid w:val="008C3E8D"/>
    <w:rsid w:val="00925449"/>
    <w:rsid w:val="00961B8B"/>
    <w:rsid w:val="0098236A"/>
    <w:rsid w:val="009C131C"/>
    <w:rsid w:val="009D0376"/>
    <w:rsid w:val="00AC2B7F"/>
    <w:rsid w:val="00AC69FF"/>
    <w:rsid w:val="00B10C5B"/>
    <w:rsid w:val="00B60F6E"/>
    <w:rsid w:val="00BC4693"/>
    <w:rsid w:val="00BD5395"/>
    <w:rsid w:val="00BD777D"/>
    <w:rsid w:val="00BE5E6F"/>
    <w:rsid w:val="00C831EA"/>
    <w:rsid w:val="00D2063F"/>
    <w:rsid w:val="00D373A0"/>
    <w:rsid w:val="00D5261C"/>
    <w:rsid w:val="00DC3906"/>
    <w:rsid w:val="00DF5187"/>
    <w:rsid w:val="00E01EB6"/>
    <w:rsid w:val="00E214B2"/>
    <w:rsid w:val="00E27BEF"/>
    <w:rsid w:val="00E34FED"/>
    <w:rsid w:val="00E40DEE"/>
    <w:rsid w:val="00E62008"/>
    <w:rsid w:val="00F156EF"/>
    <w:rsid w:val="00F81A6F"/>
    <w:rsid w:val="00FB331A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3AE6F-FE6B-406D-A468-43B47B00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CAA"/>
  </w:style>
  <w:style w:type="paragraph" w:styleId="Stopka">
    <w:name w:val="footer"/>
    <w:basedOn w:val="Normalny"/>
    <w:link w:val="StopkaZnak"/>
    <w:uiPriority w:val="99"/>
    <w:unhideWhenUsed/>
    <w:rsid w:val="0066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CAA"/>
  </w:style>
  <w:style w:type="paragraph" w:styleId="Akapitzlist">
    <w:name w:val="List Paragraph"/>
    <w:aliases w:val="BulletC,Normal,Akapit z listą3,Akapit z listą31,Tytuły,Podsis rysunku,Normalny1,List Paragraph,Akapit główny,Lista Beata,Lettre d'introduction"/>
    <w:basedOn w:val="Normalny"/>
    <w:link w:val="AkapitzlistZnak"/>
    <w:uiPriority w:val="34"/>
    <w:qFormat/>
    <w:rsid w:val="00622A04"/>
    <w:pPr>
      <w:ind w:left="720"/>
      <w:contextualSpacing/>
    </w:pPr>
  </w:style>
  <w:style w:type="character" w:customStyle="1" w:styleId="AkapitzlistZnak">
    <w:name w:val="Akapit z listą Znak"/>
    <w:aliases w:val="BulletC Znak,Normal Znak,Akapit z listą3 Znak,Akapit z listą31 Znak,Tytuły Znak,Podsis rysunku Znak,Normalny1 Znak,List Paragraph Znak,Akapit główny Znak,Lista Beata Znak,Lettre d'introduction Znak"/>
    <w:link w:val="Akapitzlist"/>
    <w:uiPriority w:val="34"/>
    <w:locked/>
    <w:rsid w:val="00BE5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Konto Microsoft</cp:lastModifiedBy>
  <cp:revision>5</cp:revision>
  <cp:lastPrinted>2022-07-29T06:25:00Z</cp:lastPrinted>
  <dcterms:created xsi:type="dcterms:W3CDTF">2022-12-12T15:13:00Z</dcterms:created>
  <dcterms:modified xsi:type="dcterms:W3CDTF">2022-12-12T16:08:00Z</dcterms:modified>
</cp:coreProperties>
</file>