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6ACD63C4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B67036" w:rsidRPr="00B67036">
        <w:rPr>
          <w:rFonts w:ascii="Times New Roman" w:hAnsi="Times New Roman"/>
          <w:b/>
          <w:color w:val="000000"/>
          <w:spacing w:val="-7"/>
          <w:sz w:val="24"/>
          <w:szCs w:val="24"/>
        </w:rPr>
        <w:t>Dostawa urządzenia do pomiaru czasu reakcji, szybkości biegowej, zwinnoś</w:t>
      </w:r>
      <w:r w:rsidR="00B6703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ci oraz koordynacji motorycznej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67036">
        <w:rPr>
          <w:rFonts w:ascii="Times New Roman" w:hAnsi="Times New Roman"/>
          <w:b/>
          <w:sz w:val="24"/>
          <w:szCs w:val="24"/>
          <w:shd w:val="clear" w:color="auto" w:fill="FFFFFF"/>
        </w:rPr>
        <w:t>ZSO/46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37319"/>
    <w:rsid w:val="00B67036"/>
    <w:rsid w:val="00B81664"/>
    <w:rsid w:val="00B95490"/>
    <w:rsid w:val="00BD45CA"/>
    <w:rsid w:val="00BF54C8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2022-11-17T22:02:00Z</dcterms:created>
  <dcterms:modified xsi:type="dcterms:W3CDTF">2022-11-22T16:57:00Z</dcterms:modified>
</cp:coreProperties>
</file>