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D61635F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Dz. U. 2021 poz. 1129 z </w:t>
      </w:r>
      <w:proofErr w:type="spell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 zm.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9DE1DA5" w14:textId="7A42EA8A" w:rsidR="004F520A" w:rsidRPr="008D4C38" w:rsidRDefault="004F520A" w:rsidP="009928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4C38">
        <w:rPr>
          <w:rFonts w:ascii="Times New Roman" w:hAnsi="Times New Roman" w:cs="Times New Roman"/>
          <w:b/>
          <w:sz w:val="28"/>
          <w:szCs w:val="24"/>
        </w:rPr>
        <w:t>„</w:t>
      </w:r>
      <w:r w:rsidR="008D4C38" w:rsidRPr="008D4C38">
        <w:rPr>
          <w:rFonts w:ascii="Times New Roman" w:hAnsi="Times New Roman" w:cs="Times New Roman"/>
          <w:b/>
          <w:sz w:val="28"/>
          <w:szCs w:val="24"/>
        </w:rPr>
        <w:t>Dostaw</w:t>
      </w:r>
      <w:r w:rsidR="00F709D1">
        <w:rPr>
          <w:rFonts w:ascii="Times New Roman" w:hAnsi="Times New Roman" w:cs="Times New Roman"/>
          <w:b/>
          <w:sz w:val="28"/>
          <w:szCs w:val="24"/>
        </w:rPr>
        <w:t xml:space="preserve">a </w:t>
      </w:r>
      <w:r w:rsidR="001F78C1">
        <w:rPr>
          <w:rFonts w:ascii="Times New Roman" w:hAnsi="Times New Roman" w:cs="Times New Roman"/>
          <w:b/>
          <w:sz w:val="28"/>
          <w:szCs w:val="24"/>
        </w:rPr>
        <w:t>serwera oraz m</w:t>
      </w:r>
      <w:r w:rsidR="001F78C1" w:rsidRPr="001F78C1">
        <w:rPr>
          <w:rFonts w:ascii="Times New Roman" w:hAnsi="Times New Roman" w:cs="Times New Roman"/>
          <w:b/>
          <w:sz w:val="28"/>
          <w:szCs w:val="24"/>
        </w:rPr>
        <w:t>acierzy dyskowej wraz z wdrożeniem</w:t>
      </w:r>
      <w:r w:rsidR="001F78C1">
        <w:rPr>
          <w:rFonts w:ascii="Times New Roman" w:hAnsi="Times New Roman" w:cs="Times New Roman"/>
          <w:b/>
          <w:sz w:val="28"/>
          <w:szCs w:val="24"/>
        </w:rPr>
        <w:t xml:space="preserve"> – 2 części</w:t>
      </w:r>
      <w:r w:rsidRPr="008D4C38">
        <w:rPr>
          <w:rFonts w:ascii="Times New Roman" w:hAnsi="Times New Roman" w:cs="Times New Roman"/>
          <w:b/>
          <w:sz w:val="28"/>
          <w:szCs w:val="24"/>
        </w:rPr>
        <w:t>”</w:t>
      </w:r>
    </w:p>
    <w:p w14:paraId="2636C6F5" w14:textId="0681C3B7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7295180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1F78C1">
        <w:rPr>
          <w:rFonts w:ascii="Times New Roman" w:hAnsi="Times New Roman" w:cs="Times New Roman"/>
          <w:b/>
          <w:sz w:val="24"/>
          <w:szCs w:val="24"/>
        </w:rPr>
        <w:t>ZP/14</w:t>
      </w:r>
      <w:r w:rsidR="00412C82" w:rsidRPr="00412C82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DAECF" w14:textId="10A10390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ZATWIERDZAM</w:t>
      </w:r>
    </w:p>
    <w:p w14:paraId="43D7FC76" w14:textId="77777777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FFD1CB9" w14:textId="77777777" w:rsidR="00E86F29" w:rsidRPr="00992853" w:rsidRDefault="00E86F29" w:rsidP="00E86F29">
      <w:pPr>
        <w:jc w:val="both"/>
        <w:rPr>
          <w:rFonts w:ascii="Times New Roman" w:hAnsi="Times New Roman" w:cs="Times New Roman"/>
        </w:rPr>
      </w:pPr>
      <w:r w:rsidRPr="00992853">
        <w:rPr>
          <w:rFonts w:ascii="Times New Roman" w:hAnsi="Times New Roman" w:cs="Times New Roman"/>
        </w:rPr>
        <w:t>(data i podpis)</w:t>
      </w:r>
    </w:p>
    <w:p w14:paraId="3C43C797" w14:textId="77777777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69F2C878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 NAZWA ORAZ ADRES ZAMAWIAJĄCEGO</w:t>
      </w:r>
    </w:p>
    <w:p w14:paraId="72FCA7C3" w14:textId="77777777" w:rsidR="004374A0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30D67EBC" w:rsidR="00805CEE" w:rsidRPr="008D4C38" w:rsidRDefault="004374A0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93133C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logintrade.net/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2FC8C67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Szade,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76430">
        <w:rPr>
          <w:rFonts w:ascii="Times New Roman ,serif" w:hAnsi="Times New Roman ,serif"/>
          <w:sz w:val="24"/>
          <w:szCs w:val="24"/>
        </w:rPr>
        <w:t>prawo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4471B637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Zamawiający dopuszcza możliwoś</w:t>
      </w:r>
      <w:r w:rsidR="00554A7E">
        <w:rPr>
          <w:rFonts w:ascii="Times New Roman" w:hAnsi="Times New Roman" w:cs="Times New Roman"/>
          <w:sz w:val="24"/>
          <w:szCs w:val="24"/>
        </w:rPr>
        <w:t>ć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59683BAA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 OPIS PRZEDMIOTU ZAMÓWIENIA</w:t>
      </w:r>
    </w:p>
    <w:p w14:paraId="366319C6" w14:textId="32DC7BB6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 w:rsidR="001F78C1">
        <w:rPr>
          <w:rFonts w:ascii="Times New Roman" w:hAnsi="Times New Roman" w:cs="Times New Roman"/>
          <w:sz w:val="24"/>
          <w:szCs w:val="24"/>
        </w:rPr>
        <w:t>d</w:t>
      </w:r>
      <w:r w:rsidR="001F78C1" w:rsidRPr="001F78C1">
        <w:rPr>
          <w:rFonts w:ascii="Times New Roman" w:hAnsi="Times New Roman" w:cs="Times New Roman"/>
          <w:sz w:val="24"/>
          <w:szCs w:val="24"/>
        </w:rPr>
        <w:t>ostawa serwera oraz maci</w:t>
      </w:r>
      <w:r w:rsidR="001F78C1">
        <w:rPr>
          <w:rFonts w:ascii="Times New Roman" w:hAnsi="Times New Roman" w:cs="Times New Roman"/>
          <w:sz w:val="24"/>
          <w:szCs w:val="24"/>
        </w:rPr>
        <w:t>erzy dyskowej wraz z wdrożeniem.</w:t>
      </w:r>
    </w:p>
    <w:p w14:paraId="391B4E65" w14:textId="666A5445" w:rsidR="0047346F" w:rsidRDefault="00E86F29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Zamówienie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obejmuje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 w:rsidR="001F78C1">
        <w:rPr>
          <w:rFonts w:ascii="Times New Roman" w:hAnsi="Times New Roman" w:cs="Times New Roman"/>
          <w:sz w:val="24"/>
          <w:szCs w:val="24"/>
        </w:rPr>
        <w:t>2</w:t>
      </w:r>
      <w:r w:rsidR="00167776">
        <w:rPr>
          <w:rFonts w:ascii="Times New Roman" w:hAnsi="Times New Roman" w:cs="Times New Roman"/>
          <w:sz w:val="24"/>
          <w:szCs w:val="24"/>
        </w:rPr>
        <w:t xml:space="preserve"> </w:t>
      </w:r>
      <w:r w:rsidR="0047346F">
        <w:rPr>
          <w:rFonts w:ascii="Times New Roman" w:hAnsi="Times New Roman" w:cs="Times New Roman"/>
          <w:sz w:val="24"/>
          <w:szCs w:val="24"/>
        </w:rPr>
        <w:t>części:</w:t>
      </w:r>
    </w:p>
    <w:p w14:paraId="219590BF" w14:textId="2A09E434" w:rsidR="0047346F" w:rsidRDefault="008D2E3B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47346F"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C5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7346F"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 w:rsidR="008D4C38" w:rsidRPr="008D4C38">
        <w:rPr>
          <w:rFonts w:ascii="Times New Roman" w:hAnsi="Times New Roman" w:cs="Times New Roman"/>
          <w:sz w:val="24"/>
          <w:szCs w:val="24"/>
        </w:rPr>
        <w:t xml:space="preserve">Dostawa </w:t>
      </w:r>
      <w:r w:rsidR="001F78C1">
        <w:rPr>
          <w:rFonts w:ascii="Times New Roman" w:hAnsi="Times New Roman" w:cs="Times New Roman"/>
          <w:sz w:val="24"/>
          <w:szCs w:val="24"/>
        </w:rPr>
        <w:t>m</w:t>
      </w:r>
      <w:r w:rsidR="001F78C1" w:rsidRPr="001F78C1">
        <w:rPr>
          <w:rFonts w:ascii="Times New Roman" w:hAnsi="Times New Roman" w:cs="Times New Roman"/>
          <w:sz w:val="24"/>
          <w:szCs w:val="24"/>
        </w:rPr>
        <w:t>acierzy dyskowej wraz z wdrożeniem</w:t>
      </w:r>
      <w:r w:rsidR="001F78C1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24038FD5" w14:textId="6A3E5074" w:rsidR="00F709D1" w:rsidRPr="00F709D1" w:rsidRDefault="00066C59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7B3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09D1" w:rsidRPr="008D4C38">
        <w:rPr>
          <w:rFonts w:ascii="Times New Roman" w:hAnsi="Times New Roman" w:cs="Times New Roman"/>
          <w:sz w:val="24"/>
          <w:szCs w:val="24"/>
        </w:rPr>
        <w:t>Dostawa</w:t>
      </w:r>
      <w:r w:rsidR="00F709D1">
        <w:rPr>
          <w:rFonts w:ascii="Times New Roman" w:hAnsi="Times New Roman" w:cs="Times New Roman"/>
          <w:sz w:val="24"/>
          <w:szCs w:val="24"/>
        </w:rPr>
        <w:t xml:space="preserve"> </w:t>
      </w:r>
      <w:r w:rsidR="001F78C1">
        <w:rPr>
          <w:rFonts w:ascii="Times New Roman" w:hAnsi="Times New Roman" w:cs="Times New Roman"/>
          <w:sz w:val="24"/>
          <w:szCs w:val="24"/>
        </w:rPr>
        <w:t>serwera.</w:t>
      </w:r>
    </w:p>
    <w:p w14:paraId="0F7F1BC1" w14:textId="77777777" w:rsidR="001F78C1" w:rsidRDefault="004F520A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Wspólny Słownik Zamówień CPV</w:t>
      </w:r>
      <w:r w:rsidR="001F78C1">
        <w:rPr>
          <w:rFonts w:ascii="Times New Roman" w:hAnsi="Times New Roman" w:cs="Times New Roman"/>
          <w:sz w:val="24"/>
          <w:szCs w:val="24"/>
        </w:rPr>
        <w:t>:</w:t>
      </w:r>
    </w:p>
    <w:p w14:paraId="6A4F506C" w14:textId="44CCFFAC" w:rsidR="008D4C38" w:rsidRDefault="001F78C1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E65F7">
        <w:rPr>
          <w:rFonts w:ascii="Times New Roman" w:hAnsi="Times New Roman" w:cs="Times New Roman"/>
          <w:sz w:val="24"/>
          <w:szCs w:val="24"/>
        </w:rPr>
        <w:t xml:space="preserve"> </w:t>
      </w:r>
      <w:r w:rsidR="00066C59">
        <w:rPr>
          <w:rFonts w:ascii="Times New Roman" w:hAnsi="Times New Roman" w:cs="Times New Roman"/>
          <w:sz w:val="24"/>
          <w:szCs w:val="24"/>
        </w:rPr>
        <w:t>dla części nr 1</w:t>
      </w:r>
      <w:r>
        <w:rPr>
          <w:rFonts w:ascii="Times New Roman" w:hAnsi="Times New Roman" w:cs="Times New Roman"/>
          <w:sz w:val="24"/>
          <w:szCs w:val="24"/>
        </w:rPr>
        <w:t xml:space="preserve">: 30233140-4 </w:t>
      </w:r>
      <w:r w:rsidRPr="001F78C1">
        <w:rPr>
          <w:rFonts w:ascii="Times New Roman" w:hAnsi="Times New Roman" w:cs="Times New Roman"/>
          <w:sz w:val="24"/>
          <w:szCs w:val="24"/>
        </w:rPr>
        <w:t>Urządzenia do przechowywania dostępu bezpośredniego (DASD)</w:t>
      </w:r>
    </w:p>
    <w:p w14:paraId="0117D100" w14:textId="737CBF34" w:rsidR="001F78C1" w:rsidRPr="00DE65F7" w:rsidRDefault="001F78C1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dla części nr 2: 48820000-2 Serwery</w:t>
      </w:r>
    </w:p>
    <w:p w14:paraId="56D18149" w14:textId="77777777" w:rsidR="001F78C1" w:rsidRDefault="001F78C1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D384D" w14:textId="5C25F7C2" w:rsidR="0047346F" w:rsidRDefault="004F520A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B76E8">
        <w:rPr>
          <w:rFonts w:ascii="Times New Roman" w:hAnsi="Times New Roman" w:cs="Times New Roman"/>
          <w:b/>
          <w:sz w:val="24"/>
          <w:szCs w:val="24"/>
        </w:rPr>
        <w:t>3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B6CC3F" w14:textId="77777777" w:rsidR="00154F8E" w:rsidRDefault="00154F8E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3790BE80" w14:textId="1488A77D" w:rsidR="0018280B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77D4DF00" w14:textId="77777777" w:rsidR="00272977" w:rsidRDefault="00272977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387D6" w14:textId="0EC5C0E0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09CA6C1" w14:textId="2F94089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4B1740F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53851C3A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2E3054A8" w14:textId="41DF15A2" w:rsidR="008D2E3B" w:rsidRPr="0093133C" w:rsidRDefault="00473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3B">
        <w:rPr>
          <w:rFonts w:ascii="Times New Roman" w:hAnsi="Times New Roman" w:cs="Times New Roman"/>
          <w:sz w:val="24"/>
          <w:szCs w:val="24"/>
          <w:u w:val="single"/>
        </w:rPr>
        <w:t xml:space="preserve">dla </w:t>
      </w:r>
      <w:r w:rsidR="001361B8">
        <w:rPr>
          <w:rFonts w:ascii="Times New Roman" w:hAnsi="Times New Roman" w:cs="Times New Roman"/>
          <w:sz w:val="24"/>
          <w:szCs w:val="24"/>
          <w:u w:val="single"/>
        </w:rPr>
        <w:t>części</w:t>
      </w:r>
      <w:r w:rsidR="001F78C1">
        <w:rPr>
          <w:rFonts w:ascii="Times New Roman" w:hAnsi="Times New Roman" w:cs="Times New Roman"/>
          <w:sz w:val="24"/>
          <w:szCs w:val="24"/>
          <w:u w:val="single"/>
        </w:rPr>
        <w:t xml:space="preserve"> nr 1 i 2</w:t>
      </w:r>
      <w:r w:rsidR="00E86F29" w:rsidRPr="00154F8E">
        <w:rPr>
          <w:rFonts w:ascii="Times New Roman" w:hAnsi="Times New Roman" w:cs="Times New Roman"/>
          <w:sz w:val="24"/>
          <w:szCs w:val="24"/>
        </w:rPr>
        <w:t xml:space="preserve"> </w:t>
      </w:r>
      <w:r w:rsidR="00DE65F7">
        <w:rPr>
          <w:rFonts w:ascii="Times New Roman" w:hAnsi="Times New Roman" w:cs="Times New Roman"/>
          <w:sz w:val="24"/>
          <w:szCs w:val="24"/>
        </w:rPr>
        <w:t>–</w:t>
      </w:r>
      <w:r w:rsidR="00F709D1">
        <w:rPr>
          <w:rFonts w:ascii="Times New Roman" w:hAnsi="Times New Roman" w:cs="Times New Roman"/>
          <w:sz w:val="24"/>
          <w:szCs w:val="24"/>
        </w:rPr>
        <w:t xml:space="preserve"> </w:t>
      </w:r>
      <w:r w:rsidR="00ED65ED" w:rsidRPr="0093133C">
        <w:rPr>
          <w:rFonts w:ascii="Times New Roman" w:hAnsi="Times New Roman" w:cs="Times New Roman"/>
          <w:b/>
          <w:sz w:val="24"/>
          <w:szCs w:val="24"/>
        </w:rPr>
        <w:t>do 100 dni od daty zawarcia umowy</w:t>
      </w:r>
    </w:p>
    <w:p w14:paraId="10897B59" w14:textId="547EF375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42AE1">
        <w:rPr>
          <w:rFonts w:ascii="Times New Roman" w:hAnsi="Times New Roman" w:cs="Times New Roman"/>
          <w:b/>
          <w:sz w:val="24"/>
          <w:szCs w:val="24"/>
        </w:rPr>
        <w:t>5</w:t>
      </w:r>
      <w:r w:rsidR="008D2E3B">
        <w:rPr>
          <w:rFonts w:ascii="Times New Roman" w:hAnsi="Times New Roman" w:cs="Times New Roman"/>
          <w:sz w:val="24"/>
          <w:szCs w:val="24"/>
        </w:rPr>
        <w:t xml:space="preserve"> do SWZ oraz w opisie przedmiotu zamówienia stanowiącym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42AE1">
        <w:rPr>
          <w:rFonts w:ascii="Times New Roman" w:hAnsi="Times New Roman" w:cs="Times New Roman"/>
          <w:b/>
          <w:sz w:val="24"/>
          <w:szCs w:val="24"/>
        </w:rPr>
        <w:t>2</w:t>
      </w:r>
      <w:r w:rsidR="008D2E3B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A54C312" w14:textId="77777777" w:rsidR="00142AE1" w:rsidRDefault="00142AE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264DD1BA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C83BAC" w14:textId="1A42889B" w:rsidR="00EA6E76" w:rsidRDefault="00EA6E76" w:rsidP="00142AE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1A13EC">
        <w:rPr>
          <w:rFonts w:ascii="Times New Roman" w:hAnsi="Times New Roman" w:cs="Times New Roman"/>
          <w:sz w:val="24"/>
          <w:szCs w:val="24"/>
        </w:rPr>
        <w:t xml:space="preserve">) </w:t>
      </w:r>
      <w:r w:rsidR="00142AE1">
        <w:rPr>
          <w:rFonts w:ascii="Times New Roman" w:hAnsi="Times New Roman" w:cs="Times New Roman"/>
          <w:b/>
          <w:sz w:val="24"/>
          <w:szCs w:val="24"/>
        </w:rPr>
        <w:t>w zakresie części nr 1</w:t>
      </w:r>
      <w:r w:rsidR="001A13E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A13EC" w:rsidRPr="001A13EC">
        <w:rPr>
          <w:rFonts w:ascii="Times New Roman" w:hAnsi="Times New Roman" w:cs="Times New Roman"/>
          <w:sz w:val="24"/>
          <w:szCs w:val="24"/>
        </w:rPr>
        <w:t xml:space="preserve">Zamawiający wymaga, </w:t>
      </w:r>
      <w:r w:rsidR="00142AE1">
        <w:rPr>
          <w:rFonts w:ascii="Times New Roman" w:hAnsi="Times New Roman" w:cs="Times New Roman"/>
          <w:sz w:val="24"/>
          <w:szCs w:val="24"/>
        </w:rPr>
        <w:t>aby W</w:t>
      </w:r>
      <w:r>
        <w:rPr>
          <w:rFonts w:ascii="Times New Roman" w:hAnsi="Times New Roman" w:cs="Times New Roman"/>
          <w:sz w:val="24"/>
          <w:szCs w:val="24"/>
        </w:rPr>
        <w:t>ykonawca:</w:t>
      </w:r>
    </w:p>
    <w:p w14:paraId="4B086FA1" w14:textId="66C56417" w:rsidR="00EA6E76" w:rsidRDefault="00142AE1" w:rsidP="00EA6E7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A6E76">
        <w:rPr>
          <w:rFonts w:ascii="Times New Roman" w:hAnsi="Times New Roman"/>
          <w:sz w:val="24"/>
          <w:szCs w:val="24"/>
        </w:rPr>
        <w:t>dysponował firmą serwisującą posiadającą certyfikat jakości</w:t>
      </w:r>
      <w:r w:rsidR="00EA6E76" w:rsidRPr="00EA6E76">
        <w:rPr>
          <w:rFonts w:ascii="Times New Roman" w:hAnsi="Times New Roman"/>
          <w:sz w:val="24"/>
          <w:szCs w:val="24"/>
        </w:rPr>
        <w:t xml:space="preserve"> ISO </w:t>
      </w:r>
      <w:r w:rsidR="00E74801">
        <w:rPr>
          <w:rFonts w:ascii="Times New Roman" w:hAnsi="Times New Roman"/>
          <w:sz w:val="24"/>
          <w:szCs w:val="24"/>
        </w:rPr>
        <w:t xml:space="preserve">9001 </w:t>
      </w:r>
      <w:r w:rsidRPr="00EA6E76">
        <w:rPr>
          <w:rFonts w:ascii="Times New Roman" w:hAnsi="Times New Roman"/>
          <w:sz w:val="24"/>
          <w:szCs w:val="24"/>
        </w:rPr>
        <w:t>na świadczenie</w:t>
      </w:r>
      <w:r w:rsidR="00EA6E76" w:rsidRPr="00EA6E76">
        <w:rPr>
          <w:rFonts w:ascii="Times New Roman" w:hAnsi="Times New Roman"/>
          <w:sz w:val="24"/>
          <w:szCs w:val="24"/>
        </w:rPr>
        <w:t xml:space="preserve"> usług serwisowych;</w:t>
      </w:r>
    </w:p>
    <w:p w14:paraId="0235C43F" w14:textId="0A65EF97" w:rsidR="00EA6E76" w:rsidRDefault="00EA6E76" w:rsidP="00C32B1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1A13EC">
        <w:rPr>
          <w:rFonts w:ascii="Times New Roman" w:hAnsi="Times New Roman" w:cs="Times New Roman"/>
          <w:sz w:val="24"/>
          <w:szCs w:val="24"/>
        </w:rPr>
        <w:t xml:space="preserve">) </w:t>
      </w:r>
      <w:r w:rsidR="001A13EC" w:rsidRPr="001A13EC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 w:rsidR="00142AE1">
        <w:rPr>
          <w:rFonts w:ascii="Times New Roman" w:hAnsi="Times New Roman" w:cs="Times New Roman"/>
          <w:b/>
          <w:sz w:val="24"/>
          <w:szCs w:val="24"/>
        </w:rPr>
        <w:t>2</w:t>
      </w:r>
      <w:r w:rsidR="001A13E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A13EC" w:rsidRPr="001A13EC">
        <w:rPr>
          <w:rFonts w:ascii="Times New Roman" w:hAnsi="Times New Roman" w:cs="Times New Roman"/>
          <w:sz w:val="24"/>
          <w:szCs w:val="24"/>
        </w:rPr>
        <w:t>Zamawiający wymaga, aby</w:t>
      </w:r>
      <w:r w:rsidR="004B0D62">
        <w:rPr>
          <w:rFonts w:ascii="Times New Roman" w:hAnsi="Times New Roman" w:cs="Times New Roman"/>
          <w:sz w:val="24"/>
          <w:szCs w:val="24"/>
        </w:rPr>
        <w:t xml:space="preserve"> Wykonawca:</w:t>
      </w:r>
    </w:p>
    <w:p w14:paraId="20D5A851" w14:textId="17FB73BB" w:rsidR="00A25CD7" w:rsidRPr="00A25CD7" w:rsidRDefault="00A25CD7" w:rsidP="00A25CD7">
      <w:pPr>
        <w:pStyle w:val="Akapitzlist"/>
        <w:numPr>
          <w:ilvl w:val="0"/>
          <w:numId w:val="3"/>
        </w:numPr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EA6E76">
        <w:rPr>
          <w:rFonts w:ascii="Times New Roman" w:hAnsi="Times New Roman"/>
          <w:sz w:val="24"/>
          <w:szCs w:val="24"/>
        </w:rPr>
        <w:t>dysponował firmą ser</w:t>
      </w:r>
      <w:r>
        <w:rPr>
          <w:rFonts w:ascii="Times New Roman" w:hAnsi="Times New Roman"/>
          <w:sz w:val="24"/>
          <w:szCs w:val="24"/>
        </w:rPr>
        <w:t xml:space="preserve">wisującą posiadającą certyfikat </w:t>
      </w:r>
      <w:r w:rsidRPr="00EA6E76">
        <w:rPr>
          <w:rFonts w:ascii="Times New Roman" w:hAnsi="Times New Roman"/>
          <w:sz w:val="24"/>
          <w:szCs w:val="24"/>
        </w:rPr>
        <w:t xml:space="preserve">jakości </w:t>
      </w:r>
      <w:r w:rsidRPr="00A25CD7">
        <w:rPr>
          <w:rFonts w:ascii="Times New Roman" w:hAnsi="Times New Roman"/>
          <w:sz w:val="24"/>
          <w:szCs w:val="24"/>
        </w:rPr>
        <w:t>ISO 9001 na świadczenie</w:t>
      </w:r>
      <w:r>
        <w:rPr>
          <w:rFonts w:ascii="Times New Roman" w:hAnsi="Times New Roman"/>
          <w:sz w:val="24"/>
          <w:szCs w:val="24"/>
        </w:rPr>
        <w:t xml:space="preserve"> usług serwisowych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14:paraId="57256EE7" w14:textId="77777777" w:rsidR="00272977" w:rsidRDefault="00272977" w:rsidP="0093133C">
      <w:pPr>
        <w:ind w:left="993"/>
        <w:jc w:val="both"/>
        <w:rPr>
          <w:rFonts w:ascii="Times New Roman" w:hAnsi="Times New Roman"/>
          <w:strike/>
          <w:sz w:val="24"/>
          <w:szCs w:val="24"/>
        </w:rPr>
      </w:pPr>
    </w:p>
    <w:p w14:paraId="5C7925DA" w14:textId="2FB39486" w:rsidR="008C7F5D" w:rsidRPr="00A25CD7" w:rsidRDefault="008C7F5D" w:rsidP="0093133C">
      <w:pPr>
        <w:ind w:left="993"/>
        <w:jc w:val="both"/>
      </w:pPr>
      <w:r w:rsidRPr="008C7F5D">
        <w:rPr>
          <w:rFonts w:ascii="Times New Roman" w:hAnsi="Times New Roman" w:cs="Times New Roman"/>
          <w:b/>
          <w:szCs w:val="24"/>
        </w:rPr>
        <w:t>*Uwaga</w:t>
      </w:r>
      <w:r w:rsidRPr="008C7F5D">
        <w:rPr>
          <w:rFonts w:ascii="Times New Roman" w:hAnsi="Times New Roman" w:cs="Times New Roman"/>
          <w:szCs w:val="24"/>
        </w:rPr>
        <w:t>: W przypadku wykonawców wspólnie ubiegających się o udzielenie zamówienia (w szczególności członkowie konsorcjum, wspólnicy spółki cywilnej) warunki udziału w postepowaniu określon</w:t>
      </w:r>
      <w:r>
        <w:rPr>
          <w:rFonts w:ascii="Times New Roman" w:hAnsi="Times New Roman" w:cs="Times New Roman"/>
          <w:szCs w:val="24"/>
        </w:rPr>
        <w:t xml:space="preserve">e w pkt 4 </w:t>
      </w:r>
      <w:proofErr w:type="spellStart"/>
      <w:r w:rsidRPr="008C7F5D">
        <w:rPr>
          <w:rFonts w:ascii="Times New Roman" w:hAnsi="Times New Roman" w:cs="Times New Roman"/>
          <w:szCs w:val="24"/>
        </w:rPr>
        <w:t>ppkt</w:t>
      </w:r>
      <w:proofErr w:type="spellEnd"/>
      <w:r w:rsidRPr="008C7F5D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1 i </w:t>
      </w:r>
      <w:r w:rsidRPr="008C7F5D">
        <w:rPr>
          <w:rFonts w:ascii="Times New Roman" w:hAnsi="Times New Roman" w:cs="Times New Roman"/>
          <w:szCs w:val="24"/>
        </w:rPr>
        <w:t>2 może spełniać jeden z wykonawców samodzielnie, lub wykonawcy wspólnie ubiegający się o udzielenie zamówienia łącznie.</w:t>
      </w:r>
    </w:p>
    <w:p w14:paraId="3AAEF6B1" w14:textId="1755AF13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361BE86" w14:textId="4D2A2FF0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3953542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228-230a, art. 250a Kodeksu karnego lub w art. 46 lub art. 48 ustawy z dnia 25 czerwca 2010 r. o sporcie,</w:t>
      </w:r>
    </w:p>
    <w:p w14:paraId="4CCFFC3D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finansowania przestępstwa o charakterze terrorystycznym, o którym mowa w art. 165a Kodeksu karnego, lub przestępstwo udaremniania lub utrudniania stwierdzenia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667DE154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Polskiej </w:t>
      </w:r>
      <w:r w:rsidR="003C7F25" w:rsidRPr="003C7F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C7F25" w:rsidRPr="003C7F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C7F25" w:rsidRPr="003C7F25">
        <w:rPr>
          <w:rFonts w:ascii="Times New Roman" w:hAnsi="Times New Roman" w:cs="Times New Roman"/>
          <w:sz w:val="24"/>
          <w:szCs w:val="24"/>
        </w:rPr>
        <w:t>. Dz.U. z 2021r. poz. 1745)</w:t>
      </w:r>
      <w:r w:rsidR="003C7F25" w:rsidRPr="003C7F25" w:rsidDel="003C7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224111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braku podstaw do wykluczenia z postępowania niezależnie od tego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do SWZ oraz oświadczenie o spełnianiu warunków udziału w postępowaniu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 xml:space="preserve">załącznikiem nr 4 </w:t>
      </w:r>
      <w:r w:rsidR="00D84F92" w:rsidRPr="00D84F92">
        <w:rPr>
          <w:rFonts w:ascii="Times New Roman" w:hAnsi="Times New Roman" w:cs="Times New Roman"/>
          <w:sz w:val="24"/>
          <w:szCs w:val="24"/>
        </w:rPr>
        <w:t>do</w:t>
      </w:r>
      <w:r w:rsidR="00D84F92">
        <w:rPr>
          <w:rFonts w:ascii="Times New Roman" w:hAnsi="Times New Roman" w:cs="Times New Roman"/>
          <w:sz w:val="24"/>
          <w:szCs w:val="24"/>
        </w:rPr>
        <w:t xml:space="preserve"> SWZ (</w:t>
      </w:r>
      <w:r w:rsidR="00D84F92" w:rsidRPr="00D84F92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 w:rsidR="00EA6E76">
        <w:rPr>
          <w:rFonts w:ascii="Times New Roman" w:hAnsi="Times New Roman" w:cs="Times New Roman"/>
          <w:b/>
          <w:sz w:val="24"/>
          <w:szCs w:val="24"/>
        </w:rPr>
        <w:t>1 lub 2</w:t>
      </w:r>
      <w:r w:rsidR="00450B94" w:rsidRPr="0093133C">
        <w:rPr>
          <w:rFonts w:ascii="Times New Roman" w:hAnsi="Times New Roman" w:cs="Times New Roman"/>
          <w:bCs/>
          <w:sz w:val="24"/>
          <w:szCs w:val="24"/>
        </w:rPr>
        <w:t>, zależnie od treści złożonej oferty</w:t>
      </w:r>
      <w:r w:rsidR="00D84F92" w:rsidRPr="00D84F92">
        <w:rPr>
          <w:rFonts w:ascii="Times New Roman" w:hAnsi="Times New Roman" w:cs="Times New Roman"/>
          <w:sz w:val="24"/>
          <w:szCs w:val="24"/>
        </w:rPr>
        <w:t>)</w:t>
      </w:r>
      <w:r w:rsidR="00272977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5C9D428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Informacje zawarte w oświadczeni</w:t>
      </w:r>
      <w:r w:rsidR="00D84F92">
        <w:rPr>
          <w:rFonts w:ascii="Times New Roman" w:hAnsi="Times New Roman" w:cs="Times New Roman"/>
          <w:sz w:val="24"/>
          <w:szCs w:val="24"/>
        </w:rPr>
        <w:t>ach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D84F92">
        <w:rPr>
          <w:rFonts w:ascii="Times New Roman" w:hAnsi="Times New Roman" w:cs="Times New Roman"/>
          <w:sz w:val="24"/>
          <w:szCs w:val="24"/>
        </w:rPr>
        <w:t>ch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stanowią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D84F92">
        <w:rPr>
          <w:rFonts w:ascii="Times New Roman" w:hAnsi="Times New Roman" w:cs="Times New Roman"/>
          <w:sz w:val="24"/>
          <w:szCs w:val="24"/>
        </w:rPr>
        <w:t xml:space="preserve"> lub spełnia warunki udziału w postępowaniu.</w:t>
      </w:r>
    </w:p>
    <w:p w14:paraId="72816C30" w14:textId="456A6EBF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oświadczeń, o których mowa w ust. 1 lub są one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="00D84F92">
        <w:rPr>
          <w:rFonts w:ascii="Times New Roman" w:hAnsi="Times New Roman" w:cs="Times New Roman"/>
          <w:sz w:val="24"/>
          <w:szCs w:val="24"/>
        </w:rPr>
        <w:t>ją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>ie wykonawcę odpowiednio do ich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 oferta wykonawcy podlega odrzuceniu bez względu na ich złożenie, uzupełnienie lub poprawienie lub zachodzą przesłanki unieważnienia postępowania.</w:t>
      </w:r>
    </w:p>
    <w:p w14:paraId="6A205091" w14:textId="3DE256BB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złożonych oświadczeń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0E9E7413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oświadczenia, o których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budzą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spełniania przez wykonawcę braku podstaw wykluczenia</w:t>
      </w:r>
      <w:r w:rsidR="00270628">
        <w:rPr>
          <w:rFonts w:ascii="Times New Roman" w:hAnsi="Times New Roman" w:cs="Times New Roman"/>
          <w:sz w:val="24"/>
          <w:szCs w:val="24"/>
        </w:rPr>
        <w:t xml:space="preserve"> lub spełniania warunków udziału w postępowaniu</w:t>
      </w:r>
      <w:r w:rsidR="004F520A" w:rsidRPr="00A464E7">
        <w:rPr>
          <w:rFonts w:ascii="Times New Roman" w:hAnsi="Times New Roman" w:cs="Times New Roman"/>
          <w:sz w:val="24"/>
          <w:szCs w:val="24"/>
        </w:rPr>
        <w:t>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>. 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Jeżeli złożone przez wykonawcę podmiotowe środki dowodowe budzą wątpliwości zamawiającego, może on zwrócić się bezpośrednio do podmiotu, który jest w posiadaniu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1379852E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Oświadczenia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których mowa w ust. 1 składa się, pod rygorem nieważności, w formie elektronicznej lub w postaci elektronicznej opatrzonej kwalifikowanym podpisem elektronicznym, podpisem zaufanym lub podpisem osobistym.</w:t>
      </w:r>
    </w:p>
    <w:p w14:paraId="4F81D7E9" w14:textId="0257DD4F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>
        <w:rPr>
          <w:rFonts w:ascii="Times New Roman" w:hAnsi="Times New Roman" w:cs="Times New Roman"/>
          <w:sz w:val="24"/>
          <w:szCs w:val="24"/>
        </w:rPr>
        <w:t xml:space="preserve">. Dz. U. z 2021 r. poz. 670, </w:t>
      </w:r>
      <w:r w:rsidR="00450B9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50B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50B94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441CE24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48A6D49D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zenia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(Dz. U. z 2020 r. poz. 1913</w:t>
      </w:r>
      <w:r w:rsidR="003C7F25">
        <w:rPr>
          <w:rFonts w:ascii="Times New Roman" w:hAnsi="Times New Roman" w:cs="Times New Roman"/>
          <w:sz w:val="24"/>
          <w:szCs w:val="24"/>
        </w:rPr>
        <w:t xml:space="preserve"> </w:t>
      </w:r>
      <w:r w:rsidR="003C7F25" w:rsidRPr="003C7F2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C7F25" w:rsidRPr="003C7F2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C7F25" w:rsidRPr="003C7F25">
        <w:rPr>
          <w:rFonts w:ascii="Times New Roman" w:hAnsi="Times New Roman" w:cs="Times New Roman"/>
          <w:sz w:val="24"/>
          <w:szCs w:val="24"/>
        </w:rPr>
        <w:t xml:space="preserve">. </w:t>
      </w:r>
      <w:r w:rsidR="003C7F25">
        <w:rPr>
          <w:rFonts w:ascii="Times New Roman" w:hAnsi="Times New Roman" w:cs="Times New Roman"/>
          <w:sz w:val="24"/>
          <w:szCs w:val="24"/>
        </w:rPr>
        <w:t>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A6E76">
        <w:rPr>
          <w:rFonts w:ascii="Times New Roman" w:hAnsi="Times New Roman" w:cs="Times New Roman"/>
          <w:b/>
          <w:sz w:val="24"/>
          <w:szCs w:val="24"/>
        </w:rPr>
        <w:t>6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094C862A" w14:textId="09C8A97D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>nkursie (Dz. U. 2020 poz. 2452).</w:t>
      </w:r>
    </w:p>
    <w:p w14:paraId="587A4DF4" w14:textId="77777777" w:rsidR="00A41114" w:rsidRDefault="00A41114" w:rsidP="002E6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D6A39" w14:textId="77777777" w:rsidR="00A41114" w:rsidRDefault="00A41114" w:rsidP="002E6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5DFBB" w14:textId="13A0D6B2" w:rsidR="002E6EAC" w:rsidRPr="00FD30BD" w:rsidRDefault="002E6EAC" w:rsidP="002E6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DOKUMENTY SKŁADANE NA WEZWANIE ZAMAWIAJĄCEGO NA PODSTAWIE ART. 274 UST. 1 USTAWY PZP</w:t>
      </w:r>
      <w:r w:rsidR="000D6454">
        <w:rPr>
          <w:rFonts w:ascii="Times New Roman" w:hAnsi="Times New Roman" w:cs="Times New Roman"/>
          <w:b/>
          <w:sz w:val="24"/>
          <w:szCs w:val="24"/>
        </w:rPr>
        <w:t xml:space="preserve"> (PODMIOTOWE ŚRODKI DOWODOWE)</w:t>
      </w:r>
    </w:p>
    <w:p w14:paraId="797869F5" w14:textId="58FFC417" w:rsidR="002E6EAC" w:rsidRDefault="002E6EA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Zamawiający wezwie</w:t>
      </w:r>
      <w:r w:rsidRPr="005C0063">
        <w:rPr>
          <w:rFonts w:ascii="Times New Roman" w:hAnsi="Times New Roman" w:cs="Times New Roman"/>
          <w:sz w:val="24"/>
          <w:szCs w:val="24"/>
        </w:rPr>
        <w:t xml:space="preserve"> wykonawcę, </w:t>
      </w:r>
      <w:r>
        <w:rPr>
          <w:rFonts w:ascii="Times New Roman" w:hAnsi="Times New Roman" w:cs="Times New Roman"/>
          <w:sz w:val="24"/>
          <w:szCs w:val="24"/>
        </w:rPr>
        <w:t xml:space="preserve">którego oferta została najwyżej </w:t>
      </w:r>
      <w:r w:rsidRPr="005C0063">
        <w:rPr>
          <w:rFonts w:ascii="Times New Roman" w:hAnsi="Times New Roman" w:cs="Times New Roman"/>
          <w:sz w:val="24"/>
          <w:szCs w:val="24"/>
        </w:rPr>
        <w:t>oceniona, do złożenia w wyznaczonym terminie,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0BD">
        <w:rPr>
          <w:rFonts w:ascii="Times New Roman" w:hAnsi="Times New Roman" w:cs="Times New Roman"/>
          <w:b/>
          <w:sz w:val="24"/>
          <w:szCs w:val="24"/>
        </w:rPr>
        <w:t>nie krótszym niż 5 dni od dnia wezwania</w:t>
      </w:r>
      <w:r w:rsidRPr="005C00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b/>
          <w:sz w:val="24"/>
          <w:szCs w:val="24"/>
        </w:rPr>
        <w:t>podmio</w:t>
      </w:r>
      <w:r w:rsidRPr="00FD30BD">
        <w:rPr>
          <w:rFonts w:ascii="Times New Roman" w:hAnsi="Times New Roman" w:cs="Times New Roman"/>
          <w:b/>
          <w:sz w:val="24"/>
          <w:szCs w:val="24"/>
        </w:rPr>
        <w:t>towych środków dowodowych</w:t>
      </w:r>
      <w:r>
        <w:rPr>
          <w:rFonts w:ascii="Times New Roman" w:hAnsi="Times New Roman" w:cs="Times New Roman"/>
          <w:sz w:val="24"/>
          <w:szCs w:val="24"/>
        </w:rPr>
        <w:t>, aktualnych na dzień ich złożenia:</w:t>
      </w:r>
    </w:p>
    <w:p w14:paraId="4B7C5375" w14:textId="7FD1E06F" w:rsidR="002E6EAC" w:rsidRDefault="002E6EA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1A13EC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14:paraId="389839F6" w14:textId="1A4FEE82" w:rsidR="00BD1A84" w:rsidRPr="00EC43ED" w:rsidRDefault="002E6EAC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6EAC">
        <w:rPr>
          <w:rFonts w:ascii="Times New Roman" w:hAnsi="Times New Roman"/>
          <w:sz w:val="24"/>
          <w:szCs w:val="24"/>
        </w:rPr>
        <w:t>poświadczenia w postaci kopii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A6E76">
        <w:rPr>
          <w:rFonts w:ascii="Times New Roman" w:hAnsi="Times New Roman"/>
          <w:sz w:val="24"/>
          <w:szCs w:val="24"/>
        </w:rPr>
        <w:t>certyfikat</w:t>
      </w:r>
      <w:r>
        <w:rPr>
          <w:rFonts w:ascii="Times New Roman" w:hAnsi="Times New Roman"/>
          <w:sz w:val="24"/>
          <w:szCs w:val="24"/>
          <w:lang w:val="pl-PL"/>
        </w:rPr>
        <w:t>u</w:t>
      </w:r>
      <w:r w:rsidR="00E74801">
        <w:rPr>
          <w:rFonts w:ascii="Times New Roman" w:hAnsi="Times New Roman"/>
          <w:sz w:val="24"/>
          <w:szCs w:val="24"/>
        </w:rPr>
        <w:t xml:space="preserve"> jakości ISO 9001</w:t>
      </w:r>
      <w:r w:rsidRPr="00EA6E76">
        <w:rPr>
          <w:rFonts w:ascii="Times New Roman" w:hAnsi="Times New Roman"/>
          <w:sz w:val="24"/>
          <w:szCs w:val="24"/>
        </w:rPr>
        <w:t xml:space="preserve"> na świadczenie</w:t>
      </w:r>
      <w:r>
        <w:rPr>
          <w:rFonts w:ascii="Times New Roman" w:hAnsi="Times New Roman"/>
          <w:sz w:val="24"/>
          <w:szCs w:val="24"/>
        </w:rPr>
        <w:t xml:space="preserve"> usług serwisowych przez </w:t>
      </w:r>
      <w:r w:rsidRPr="00EA6E76">
        <w:rPr>
          <w:rFonts w:ascii="Times New Roman" w:hAnsi="Times New Roman"/>
          <w:sz w:val="24"/>
          <w:szCs w:val="24"/>
        </w:rPr>
        <w:t>firm</w:t>
      </w:r>
      <w:r w:rsidR="00A41114">
        <w:rPr>
          <w:rFonts w:ascii="Times New Roman" w:hAnsi="Times New Roman"/>
          <w:sz w:val="24"/>
          <w:szCs w:val="24"/>
          <w:lang w:val="pl-PL"/>
        </w:rPr>
        <w:t>ę</w:t>
      </w:r>
      <w:r w:rsidRPr="00EA6E76">
        <w:rPr>
          <w:rFonts w:ascii="Times New Roman" w:hAnsi="Times New Roman"/>
          <w:sz w:val="24"/>
          <w:szCs w:val="24"/>
        </w:rPr>
        <w:t xml:space="preserve"> serwisującą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14:paraId="5B0AD1BB" w14:textId="357807DF" w:rsidR="00BD1A84" w:rsidRDefault="00BD1A84" w:rsidP="00BD1A84">
      <w:pPr>
        <w:jc w:val="both"/>
        <w:rPr>
          <w:rFonts w:ascii="Times New Roman" w:hAnsi="Times New Roman" w:cs="Times New Roman"/>
          <w:sz w:val="24"/>
          <w:szCs w:val="24"/>
        </w:rPr>
      </w:pPr>
      <w:r w:rsidRPr="001A13EC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>
        <w:rPr>
          <w:rFonts w:ascii="Times New Roman" w:hAnsi="Times New Roman" w:cs="Times New Roman"/>
          <w:b/>
          <w:sz w:val="24"/>
          <w:szCs w:val="24"/>
        </w:rPr>
        <w:t>2:</w:t>
      </w:r>
    </w:p>
    <w:p w14:paraId="491CCF65" w14:textId="2EB4BA54" w:rsidR="00BD1A84" w:rsidRDefault="00BD1A84" w:rsidP="00BD1A84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6EAC">
        <w:rPr>
          <w:rFonts w:ascii="Times New Roman" w:hAnsi="Times New Roman"/>
          <w:sz w:val="24"/>
          <w:szCs w:val="24"/>
        </w:rPr>
        <w:t>poświadczenia w postaci kopii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A6E76">
        <w:rPr>
          <w:rFonts w:ascii="Times New Roman" w:hAnsi="Times New Roman"/>
          <w:sz w:val="24"/>
          <w:szCs w:val="24"/>
        </w:rPr>
        <w:t>certyfikat</w:t>
      </w:r>
      <w:r>
        <w:rPr>
          <w:rFonts w:ascii="Times New Roman" w:hAnsi="Times New Roman"/>
          <w:sz w:val="24"/>
          <w:szCs w:val="24"/>
          <w:lang w:val="pl-PL"/>
        </w:rPr>
        <w:t>u</w:t>
      </w:r>
      <w:r>
        <w:rPr>
          <w:rFonts w:ascii="Times New Roman" w:hAnsi="Times New Roman"/>
          <w:sz w:val="24"/>
          <w:szCs w:val="24"/>
        </w:rPr>
        <w:t xml:space="preserve"> jakości ISO 9001</w:t>
      </w:r>
      <w:r w:rsidRPr="00EA6E76">
        <w:rPr>
          <w:rFonts w:ascii="Times New Roman" w:hAnsi="Times New Roman"/>
          <w:sz w:val="24"/>
          <w:szCs w:val="24"/>
        </w:rPr>
        <w:t xml:space="preserve"> na świadczenie</w:t>
      </w:r>
      <w:r>
        <w:rPr>
          <w:rFonts w:ascii="Times New Roman" w:hAnsi="Times New Roman"/>
          <w:sz w:val="24"/>
          <w:szCs w:val="24"/>
        </w:rPr>
        <w:t xml:space="preserve"> usług serwisowych przez </w:t>
      </w:r>
      <w:r w:rsidR="00A41114">
        <w:rPr>
          <w:rFonts w:ascii="Times New Roman" w:hAnsi="Times New Roman"/>
          <w:sz w:val="24"/>
          <w:szCs w:val="24"/>
        </w:rPr>
        <w:t>firm</w:t>
      </w:r>
      <w:r w:rsidR="00A41114">
        <w:rPr>
          <w:rFonts w:ascii="Times New Roman" w:hAnsi="Times New Roman"/>
          <w:sz w:val="24"/>
          <w:szCs w:val="24"/>
          <w:lang w:val="pl-PL"/>
        </w:rPr>
        <w:t>ę</w:t>
      </w:r>
      <w:r w:rsidRPr="00EA6E76">
        <w:rPr>
          <w:rFonts w:ascii="Times New Roman" w:hAnsi="Times New Roman"/>
          <w:sz w:val="24"/>
          <w:szCs w:val="24"/>
        </w:rPr>
        <w:t xml:space="preserve"> serwisującą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14:paraId="6724229D" w14:textId="77777777" w:rsidR="000D6454" w:rsidRDefault="000D6454" w:rsidP="0093133C">
      <w:pPr>
        <w:pStyle w:val="Akapitzlist"/>
        <w:ind w:left="709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050CF2D" w14:textId="77777777" w:rsidR="000D6454" w:rsidRDefault="000D6454" w:rsidP="0093133C">
      <w:pPr>
        <w:pStyle w:val="Akapitzlist"/>
        <w:ind w:left="709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728F1FF" w14:textId="7D98D7F3" w:rsidR="000D6454" w:rsidRPr="00BD1A84" w:rsidRDefault="000D6454" w:rsidP="0093133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DOKUMENTY SKŁADANE Z OFERT</w:t>
      </w:r>
      <w:r>
        <w:rPr>
          <w:rFonts w:ascii="Times New Roman" w:hAnsi="Times New Roman"/>
          <w:b/>
          <w:sz w:val="24"/>
          <w:szCs w:val="24"/>
          <w:lang w:val="pl-PL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NA PODSTAWIE ART. 104 UST. 1 USTAWY PZP (</w:t>
      </w:r>
      <w:r>
        <w:rPr>
          <w:rFonts w:ascii="Times New Roman" w:hAnsi="Times New Roman"/>
          <w:b/>
          <w:sz w:val="24"/>
          <w:szCs w:val="24"/>
          <w:lang w:val="pl-PL"/>
        </w:rPr>
        <w:t>PRZED</w:t>
      </w:r>
      <w:r>
        <w:rPr>
          <w:rFonts w:ascii="Times New Roman" w:hAnsi="Times New Roman"/>
          <w:b/>
          <w:sz w:val="24"/>
          <w:szCs w:val="24"/>
        </w:rPr>
        <w:t>MIOTOWE ŚRODKI DOWODOWE)</w:t>
      </w:r>
    </w:p>
    <w:p w14:paraId="42F46DDB" w14:textId="4DA7EB62" w:rsidR="00BD1A84" w:rsidRDefault="000D6454" w:rsidP="0093133C">
      <w:pPr>
        <w:jc w:val="both"/>
        <w:rPr>
          <w:rFonts w:ascii="Times New Roman" w:hAnsi="Times New Roman"/>
          <w:sz w:val="24"/>
          <w:szCs w:val="24"/>
        </w:rPr>
      </w:pPr>
      <w:r w:rsidRPr="0093133C">
        <w:rPr>
          <w:rFonts w:ascii="Times New Roman" w:hAnsi="Times New Roman" w:cs="Times New Roman"/>
          <w:sz w:val="24"/>
          <w:szCs w:val="24"/>
        </w:rPr>
        <w:t xml:space="preserve">24. Zgodnie z art. 104 ust. 1 ustawy </w:t>
      </w:r>
      <w:proofErr w:type="spellStart"/>
      <w:r w:rsidRPr="009313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3133C">
        <w:rPr>
          <w:rFonts w:ascii="Times New Roman" w:hAnsi="Times New Roman" w:cs="Times New Roman"/>
          <w:sz w:val="24"/>
          <w:szCs w:val="24"/>
        </w:rPr>
        <w:t xml:space="preserve"> Zamawiający żąda w przedmiotowym postępowaniu następujących przedmiotowych środków dowodowych:</w:t>
      </w:r>
    </w:p>
    <w:p w14:paraId="6D94E506" w14:textId="690BD1DE" w:rsidR="000D6454" w:rsidRDefault="000D6454" w:rsidP="0093133C">
      <w:pPr>
        <w:jc w:val="both"/>
        <w:rPr>
          <w:rFonts w:ascii="Times New Roman" w:hAnsi="Times New Roman"/>
          <w:b/>
          <w:sz w:val="24"/>
          <w:szCs w:val="24"/>
        </w:rPr>
      </w:pPr>
      <w:r w:rsidRPr="0093133C">
        <w:rPr>
          <w:rFonts w:ascii="Times New Roman" w:hAnsi="Times New Roman" w:cs="Times New Roman"/>
          <w:b/>
          <w:sz w:val="24"/>
          <w:szCs w:val="24"/>
        </w:rPr>
        <w:t>w zakresie części nr 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C64388F" w14:textId="77777777" w:rsidR="000D6454" w:rsidRDefault="000D6454" w:rsidP="000D6454">
      <w:pPr>
        <w:pStyle w:val="Akapitzlist"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6EAC">
        <w:rPr>
          <w:rFonts w:ascii="Times New Roman" w:hAnsi="Times New Roman"/>
          <w:sz w:val="24"/>
          <w:szCs w:val="24"/>
        </w:rPr>
        <w:t xml:space="preserve">poświadczenia w postaci kopii </w:t>
      </w:r>
      <w:r>
        <w:rPr>
          <w:rFonts w:ascii="Times New Roman" w:hAnsi="Times New Roman"/>
          <w:sz w:val="24"/>
          <w:szCs w:val="24"/>
        </w:rPr>
        <w:t>autoryzacji</w:t>
      </w:r>
      <w:r w:rsidRPr="00EA6E76">
        <w:rPr>
          <w:rFonts w:ascii="Times New Roman" w:hAnsi="Times New Roman"/>
          <w:sz w:val="24"/>
          <w:szCs w:val="24"/>
        </w:rPr>
        <w:t xml:space="preserve"> przedmiotu zamówienia producenta;</w:t>
      </w:r>
    </w:p>
    <w:p w14:paraId="64BAEDD3" w14:textId="0B6DC0A2" w:rsidR="000D6454" w:rsidRPr="00EC43ED" w:rsidRDefault="000D6454">
      <w:pPr>
        <w:pStyle w:val="Akapitzlist"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6EAC">
        <w:rPr>
          <w:rFonts w:ascii="Times New Roman" w:hAnsi="Times New Roman"/>
          <w:sz w:val="24"/>
          <w:szCs w:val="24"/>
        </w:rPr>
        <w:t xml:space="preserve">poświadczenia w postaci kopii </w:t>
      </w:r>
      <w:r>
        <w:rPr>
          <w:rFonts w:ascii="Times New Roman" w:hAnsi="Times New Roman"/>
          <w:sz w:val="24"/>
          <w:szCs w:val="24"/>
        </w:rPr>
        <w:t>deklaracji</w:t>
      </w:r>
      <w:r w:rsidRPr="00EA6E76">
        <w:rPr>
          <w:rFonts w:ascii="Times New Roman" w:hAnsi="Times New Roman"/>
          <w:sz w:val="24"/>
          <w:szCs w:val="24"/>
        </w:rPr>
        <w:t xml:space="preserve"> CE przedmiotu zamówienia.</w:t>
      </w:r>
    </w:p>
    <w:p w14:paraId="515FF3BC" w14:textId="77777777" w:rsidR="000D6454" w:rsidRDefault="000D6454" w:rsidP="000D6454">
      <w:pPr>
        <w:jc w:val="both"/>
        <w:rPr>
          <w:rFonts w:ascii="Times New Roman" w:hAnsi="Times New Roman" w:cs="Times New Roman"/>
          <w:sz w:val="24"/>
          <w:szCs w:val="24"/>
        </w:rPr>
      </w:pPr>
      <w:r w:rsidRPr="001A13EC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>
        <w:rPr>
          <w:rFonts w:ascii="Times New Roman" w:hAnsi="Times New Roman" w:cs="Times New Roman"/>
          <w:b/>
          <w:sz w:val="24"/>
          <w:szCs w:val="24"/>
        </w:rPr>
        <w:t>2:</w:t>
      </w:r>
    </w:p>
    <w:p w14:paraId="5F0A2D73" w14:textId="77777777" w:rsidR="000D6454" w:rsidRDefault="000D6454" w:rsidP="0093133C">
      <w:pPr>
        <w:pStyle w:val="Akapitzlist"/>
        <w:numPr>
          <w:ilvl w:val="0"/>
          <w:numId w:val="1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6EAC">
        <w:rPr>
          <w:rFonts w:ascii="Times New Roman" w:hAnsi="Times New Roman"/>
          <w:sz w:val="24"/>
          <w:szCs w:val="24"/>
        </w:rPr>
        <w:t xml:space="preserve">poświadczenia w postaci kopii </w:t>
      </w:r>
      <w:r>
        <w:rPr>
          <w:rFonts w:ascii="Times New Roman" w:hAnsi="Times New Roman"/>
          <w:sz w:val="24"/>
          <w:szCs w:val="24"/>
        </w:rPr>
        <w:t>autoryzacji</w:t>
      </w:r>
      <w:r w:rsidRPr="00EA6E76">
        <w:rPr>
          <w:rFonts w:ascii="Times New Roman" w:hAnsi="Times New Roman"/>
          <w:sz w:val="24"/>
          <w:szCs w:val="24"/>
        </w:rPr>
        <w:t xml:space="preserve"> przedmiotu zamówienia producenta;</w:t>
      </w:r>
    </w:p>
    <w:p w14:paraId="0557540A" w14:textId="346F94C8" w:rsidR="000D6454" w:rsidRPr="0093133C" w:rsidRDefault="000D6454" w:rsidP="0093133C">
      <w:pPr>
        <w:pStyle w:val="Akapitzlist"/>
        <w:numPr>
          <w:ilvl w:val="0"/>
          <w:numId w:val="1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D6454">
        <w:rPr>
          <w:rFonts w:ascii="Times New Roman" w:hAnsi="Times New Roman"/>
          <w:sz w:val="24"/>
          <w:szCs w:val="24"/>
        </w:rPr>
        <w:t>poświadczenia w postaci kopii deklaracji CE przedmiotu zamówienia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50B161C9" w14:textId="14DA664B" w:rsidR="00197B06" w:rsidRPr="0093133C" w:rsidRDefault="00197B06" w:rsidP="0093133C">
      <w:pPr>
        <w:pStyle w:val="Akapitzlist"/>
        <w:numPr>
          <w:ilvl w:val="0"/>
          <w:numId w:val="1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oświadczenia Wykonawcy, że przedmiot zamówienia znajduje</w:t>
      </w:r>
      <w:r w:rsidRPr="00197B06">
        <w:rPr>
          <w:rFonts w:ascii="Times New Roman" w:hAnsi="Times New Roman"/>
          <w:sz w:val="24"/>
          <w:szCs w:val="24"/>
          <w:lang w:val="pl-PL"/>
        </w:rPr>
        <w:t xml:space="preserve"> się na liście W</w:t>
      </w:r>
      <w:r>
        <w:rPr>
          <w:rFonts w:ascii="Times New Roman" w:hAnsi="Times New Roman"/>
          <w:sz w:val="24"/>
          <w:szCs w:val="24"/>
          <w:lang w:val="pl-PL"/>
        </w:rPr>
        <w:t xml:space="preserve">indows Server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Catalog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i posiada</w:t>
      </w:r>
      <w:r w:rsidRPr="00197B06">
        <w:rPr>
          <w:rFonts w:ascii="Times New Roman" w:hAnsi="Times New Roman"/>
          <w:sz w:val="24"/>
          <w:szCs w:val="24"/>
          <w:lang w:val="pl-PL"/>
        </w:rPr>
        <w:t xml:space="preserve"> status „</w:t>
      </w:r>
      <w:proofErr w:type="spellStart"/>
      <w:r w:rsidRPr="00197B06">
        <w:rPr>
          <w:rFonts w:ascii="Times New Roman" w:hAnsi="Times New Roman"/>
          <w:sz w:val="24"/>
          <w:szCs w:val="24"/>
          <w:lang w:val="pl-PL"/>
        </w:rPr>
        <w:t>Certified</w:t>
      </w:r>
      <w:proofErr w:type="spellEnd"/>
      <w:r w:rsidRPr="00197B06">
        <w:rPr>
          <w:rFonts w:ascii="Times New Roman" w:hAnsi="Times New Roman"/>
          <w:sz w:val="24"/>
          <w:szCs w:val="24"/>
          <w:lang w:val="pl-PL"/>
        </w:rPr>
        <w:t xml:space="preserve"> for Windows” dla systemów Microsoft Windows 2012, Microsoft Windows 2012 R2 x64, Microsoft Windows 2016, Microsoft Windows 2019</w:t>
      </w:r>
    </w:p>
    <w:p w14:paraId="5EFC3A63" w14:textId="77777777" w:rsidR="000D6454" w:rsidRDefault="000D6454" w:rsidP="0093133C">
      <w:pPr>
        <w:pStyle w:val="Akapitzlist"/>
        <w:ind w:left="709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D58E327" w14:textId="42EA3FC4" w:rsidR="000D6454" w:rsidRDefault="000D6454" w:rsidP="0093133C">
      <w:pPr>
        <w:pStyle w:val="Akapitzlist"/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25. </w:t>
      </w:r>
      <w:r w:rsidRPr="0093133C">
        <w:rPr>
          <w:rFonts w:ascii="Times New Roman" w:hAnsi="Times New Roman"/>
          <w:b/>
          <w:sz w:val="24"/>
          <w:szCs w:val="24"/>
          <w:lang w:val="pl-PL"/>
        </w:rPr>
        <w:t xml:space="preserve">Przedmiotowe środki dowodowe </w:t>
      </w:r>
      <w:r w:rsidR="00EC43ED" w:rsidRPr="0093133C">
        <w:rPr>
          <w:rFonts w:ascii="Times New Roman" w:hAnsi="Times New Roman"/>
          <w:b/>
          <w:sz w:val="24"/>
          <w:szCs w:val="24"/>
          <w:lang w:val="pl-PL"/>
        </w:rPr>
        <w:t>wykonawca składa wraz z ofertą.</w:t>
      </w:r>
      <w:r w:rsidR="00EC43ED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2F9D1959" w14:textId="7A14180E" w:rsidR="00EC43ED" w:rsidRPr="000D6454" w:rsidRDefault="00EC43ED" w:rsidP="0093133C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26. Zamawiający przewiduje złożenie lub uzupełnienie przedmiotowych środków dowodowych w przypadkach określonych w art. 107 ust. 2 ustawy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057F1BE7" w14:textId="77777777" w:rsidR="000D6454" w:rsidRPr="0093133C" w:rsidRDefault="000D6454" w:rsidP="0093133C">
      <w:pPr>
        <w:jc w:val="both"/>
        <w:rPr>
          <w:rFonts w:ascii="Times New Roman" w:hAnsi="Times New Roman"/>
          <w:b/>
          <w:sz w:val="24"/>
          <w:szCs w:val="24"/>
        </w:rPr>
      </w:pPr>
    </w:p>
    <w:p w14:paraId="37AB911A" w14:textId="077DB125" w:rsidR="00EC43ED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6E09B4E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oświadczenia, o 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69CEBF36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721ACAE4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55CFE8CD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 niniejszym postępowaniu komunikacja między Zamawiającym a Wykonawcami odbywa się w języku polskim przy użyciu środków komunikacji elektronicznej w rozumieniu ustawy z dnia 18 lipca 2002 r. o świadczeniu usług drogą elektroniczną (Dz. U. z 2020 r. poz. 344 z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 xml:space="preserve">. zm.),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422E0FB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J.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lastRenderedPageBreak/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p.z.p</w:t>
      </w:r>
      <w:proofErr w:type="spell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dostęp do sieci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obsługa przez przeglądarkę protokołu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e) zainstalowany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w  dni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helpdesk@logintrade.net</w:t>
      </w:r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782614D9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4374A0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4374A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Dz.U. z 202</w:t>
      </w:r>
      <w:r w:rsidR="004374A0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r. poz. </w:t>
      </w:r>
      <w:r w:rsidR="004374A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 </w:t>
      </w:r>
      <w:proofErr w:type="spellStart"/>
      <w:r w:rsidR="004374A0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4374A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="004374A0">
        <w:rPr>
          <w:rFonts w:ascii="Times New Roman" w:eastAsia="SimSun" w:hAnsi="Times New Roman" w:cs="Times New Roman"/>
          <w:sz w:val="24"/>
          <w:szCs w:val="24"/>
          <w:lang w:eastAsia="zh-CN"/>
        </w:rPr>
        <w:t>zm</w:t>
      </w:r>
      <w:proofErr w:type="spellEnd"/>
      <w:r w:rsidR="004374A0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,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ompresowanych np. 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</w:p>
    <w:p w14:paraId="2668F03A" w14:textId="5A6C2586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(Dz. U. z 2020 r. poz. 1913</w:t>
      </w:r>
      <w:r w:rsidR="003C7F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C7F25" w:rsidRPr="003C7F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 </w:t>
      </w:r>
      <w:proofErr w:type="spellStart"/>
      <w:r w:rsidR="003C7F25" w:rsidRPr="003C7F25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3C7F25" w:rsidRPr="003C7F25">
        <w:rPr>
          <w:rFonts w:ascii="Times New Roman" w:eastAsia="SimSun" w:hAnsi="Times New Roman" w:cs="Times New Roman"/>
          <w:sz w:val="24"/>
          <w:szCs w:val="24"/>
          <w:lang w:eastAsia="zh-CN"/>
        </w:rPr>
        <w:t>. Zm</w:t>
      </w:r>
      <w:r w:rsidR="003C7F2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67FAB8C6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3C7F25" w:rsidRPr="003C7F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C7F25" w:rsidRPr="003C7F25">
        <w:rPr>
          <w:rFonts w:ascii="Times New Roman" w:hAnsi="Times New Roman" w:cs="Times New Roman"/>
          <w:sz w:val="24"/>
          <w:szCs w:val="24"/>
        </w:rPr>
        <w:t>. Dz.U.</w:t>
      </w:r>
      <w:r w:rsidR="003C7F25">
        <w:rPr>
          <w:rFonts w:ascii="Times New Roman" w:hAnsi="Times New Roman" w:cs="Times New Roman"/>
          <w:sz w:val="24"/>
          <w:szCs w:val="24"/>
        </w:rPr>
        <w:t xml:space="preserve"> z 2021r. poz. 670 z </w:t>
      </w:r>
      <w:proofErr w:type="spellStart"/>
      <w:r w:rsidR="003C7F2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C7F25">
        <w:rPr>
          <w:rFonts w:ascii="Times New Roman" w:hAnsi="Times New Roman" w:cs="Times New Roman"/>
          <w:sz w:val="24"/>
          <w:szCs w:val="24"/>
        </w:rPr>
        <w:t xml:space="preserve">. zm. </w:t>
      </w:r>
      <w:r w:rsidRPr="00A464E7">
        <w:rPr>
          <w:rFonts w:ascii="Times New Roman" w:hAnsi="Times New Roman" w:cs="Times New Roman"/>
          <w:sz w:val="24"/>
          <w:szCs w:val="24"/>
        </w:rPr>
        <w:t xml:space="preserve">), 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.pdf</w:t>
      </w:r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6) W celu złożenia oferty należy przejść na dolną część wyświetlonej strony internetowej </w:t>
      </w:r>
    </w:p>
    <w:p w14:paraId="5CF1CF7C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7) Aby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>” Wykonawca będzie miał możliwość dodania plików składających się na ofertę. Pliki składane przez Wykonawców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</w:t>
      </w:r>
      <w:r w:rsidRPr="00792147">
        <w:lastRenderedPageBreak/>
        <w:t xml:space="preserve">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77777777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 xml:space="preserve">niejawne i/lub dane osobowe. 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4B625A3E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>
        <w:rPr>
          <w:u w:val="single"/>
        </w:rPr>
        <w:t>formularz oferty.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wraz z wymaganymi załącznikami</w:t>
      </w:r>
      <w:r w:rsidR="003F0DBC">
        <w:t xml:space="preserve"> sporządzon</w:t>
      </w:r>
      <w:r w:rsidR="003E1A56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661CF12C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proofErr w:type="spellStart"/>
      <w:r w:rsidR="003C7F25" w:rsidRPr="003C7F25">
        <w:rPr>
          <w:color w:val="000000"/>
        </w:rPr>
        <w:t>t.j</w:t>
      </w:r>
      <w:proofErr w:type="spellEnd"/>
      <w:r w:rsidR="003C7F25" w:rsidRPr="003C7F25">
        <w:rPr>
          <w:color w:val="000000"/>
        </w:rPr>
        <w:t xml:space="preserve">. Dz. U. z </w:t>
      </w:r>
      <w:r w:rsidR="003C7F25" w:rsidRPr="003C7F25">
        <w:rPr>
          <w:color w:val="000000"/>
        </w:rPr>
        <w:lastRenderedPageBreak/>
        <w:t xml:space="preserve">2020 poz. 1913 z </w:t>
      </w:r>
      <w:proofErr w:type="spellStart"/>
      <w:r w:rsidR="003C7F25" w:rsidRPr="003C7F25">
        <w:rPr>
          <w:color w:val="000000"/>
        </w:rPr>
        <w:t>późn</w:t>
      </w:r>
      <w:proofErr w:type="spellEnd"/>
      <w:r w:rsidR="003C7F25" w:rsidRPr="003C7F25">
        <w:rPr>
          <w:color w:val="000000"/>
        </w:rPr>
        <w:t>. zm.)</w:t>
      </w:r>
      <w:r w:rsidR="003C7F25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4B24D9">
        <w:rPr>
          <w:rFonts w:eastAsia="Times New Roman"/>
          <w:b/>
          <w:color w:val="000000"/>
        </w:rPr>
        <w:t>6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515D1373" w14:textId="3F6BF22B" w:rsidR="0089046E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FC4E34" w:rsidRPr="00227F94">
        <w:t>Pełnomocnictwo do podpisania ofert składane jest w oryginale opatrzone kwalifikowanym podpisem elektronicznym. W przypadku</w:t>
      </w:r>
      <w:r w:rsidR="00FC4E34">
        <w:t>,</w:t>
      </w:r>
      <w:r w:rsidR="00FC4E34" w:rsidRPr="00227F94">
        <w:t xml:space="preserve"> gdy do reprezentowania Wykonawcy wyma</w:t>
      </w:r>
      <w:r w:rsidR="00FC4E34">
        <w:t>gana jest reprezentacja łączna (</w:t>
      </w:r>
      <w:r w:rsidR="00FC4E34" w:rsidRPr="00227F94">
        <w:t>wi</w:t>
      </w:r>
      <w:r w:rsidR="00FC4E34">
        <w:t>ę</w:t>
      </w:r>
      <w:r w:rsidR="00FC4E34" w:rsidRPr="00227F94">
        <w:t>cej niż jedna osoba) do oferty należy do</w:t>
      </w:r>
      <w:r w:rsidR="00FC4E34">
        <w:t>łączyć stosowne pełnomocnictwo</w:t>
      </w:r>
      <w:r w:rsidR="00FC4E34" w:rsidRPr="00227F94">
        <w:t xml:space="preserve"> podpisane kwalifikowanym podpisem elektronicznym łącznie przez wszystkie osoby uprawnione do reprezentacji. Wykonawca</w:t>
      </w:r>
      <w:r w:rsidR="00FC4E34">
        <w:t xml:space="preserve"> </w:t>
      </w:r>
      <w:r w:rsidR="00FC4E34" w:rsidRPr="00227F94">
        <w:t xml:space="preserve">może złożyć kopię pełnomocnictwa, ale wtedy wymagane jest pozyskanie notarialnego uwierzytelnienia podpisu pełnomocnictwa opatrzonego kwalifikowanym podpisem elektronicznym notariusza. 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https://awf</w:t>
      </w:r>
      <w:r w:rsidR="00C4625A" w:rsidRPr="00C4625A">
        <w:rPr>
          <w:b/>
        </w:rPr>
        <w:t>-katowice</w:t>
      </w:r>
      <w:r w:rsidR="009427C1">
        <w:rPr>
          <w:b/>
        </w:rPr>
        <w:t>.</w:t>
      </w:r>
      <w:r w:rsidR="00C4625A" w:rsidRPr="00C4625A">
        <w:rPr>
          <w:b/>
        </w:rPr>
        <w:t>logintrade.net/rejestracja/instrukcje/html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0B54C71A" w:rsidR="002511DF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SWZ (przy czym Wykonawca może sporządzić ofertę wg innego wzorca, powinna ona wówczas obejmować dane wymagane dla oferty w SWZ i załącznikach);</w:t>
      </w:r>
    </w:p>
    <w:p w14:paraId="0601D357" w14:textId="06502654" w:rsidR="004F520A" w:rsidRDefault="004B24D9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Oświadczenia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90D0C">
        <w:rPr>
          <w:rFonts w:ascii="Times New Roman" w:hAnsi="Times New Roman" w:cs="Times New Roman"/>
          <w:sz w:val="24"/>
          <w:szCs w:val="24"/>
        </w:rPr>
        <w:t>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C83B60F" w14:textId="6EDC8850" w:rsidR="00EC43ED" w:rsidRPr="00A464E7" w:rsidRDefault="00EC43ED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3133C">
        <w:rPr>
          <w:rFonts w:ascii="Times New Roman" w:hAnsi="Times New Roman" w:cs="Times New Roman"/>
          <w:b/>
          <w:sz w:val="24"/>
          <w:szCs w:val="24"/>
        </w:rPr>
        <w:t>Przedmiotowe środki dowodowe</w:t>
      </w:r>
      <w:r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Pr="00A464E7">
        <w:rPr>
          <w:rFonts w:ascii="Times New Roman" w:hAnsi="Times New Roman" w:cs="Times New Roman"/>
          <w:sz w:val="24"/>
          <w:szCs w:val="24"/>
        </w:rPr>
        <w:t xml:space="preserve">Rozdziale X </w:t>
      </w:r>
      <w:r>
        <w:rPr>
          <w:rFonts w:ascii="Times New Roman" w:hAnsi="Times New Roman" w:cs="Times New Roman"/>
          <w:sz w:val="24"/>
          <w:szCs w:val="24"/>
        </w:rPr>
        <w:t>pkt</w:t>
      </w:r>
      <w:r w:rsidRPr="00A46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</w:t>
      </w:r>
    </w:p>
    <w:p w14:paraId="0F155E17" w14:textId="7F5D1E5D" w:rsidR="004F520A" w:rsidRPr="00A464E7" w:rsidRDefault="00EC43ED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A464E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A464E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3262DFE1" w:rsidR="004F520A" w:rsidRPr="00A464E7" w:rsidRDefault="004F520A" w:rsidP="00A464E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A41114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16338B97" w:rsidR="004F520A" w:rsidRPr="00A464E7" w:rsidRDefault="00EC43ED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22533340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4D3F48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4D3F48"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3C7F25" w:rsidRPr="003C7F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C7F25" w:rsidRPr="003C7F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C7F25" w:rsidRPr="003C7F25">
        <w:rPr>
          <w:rFonts w:ascii="Times New Roman" w:hAnsi="Times New Roman" w:cs="Times New Roman"/>
          <w:sz w:val="24"/>
          <w:szCs w:val="24"/>
        </w:rPr>
        <w:t xml:space="preserve">. Dz.U. </w:t>
      </w:r>
      <w:r w:rsidR="003C7F25">
        <w:rPr>
          <w:rFonts w:ascii="Times New Roman" w:hAnsi="Times New Roman" w:cs="Times New Roman"/>
          <w:sz w:val="24"/>
          <w:szCs w:val="24"/>
        </w:rPr>
        <w:t xml:space="preserve">z 2021r. </w:t>
      </w:r>
      <w:proofErr w:type="spellStart"/>
      <w:r w:rsidR="003C7F25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3C7F25">
        <w:rPr>
          <w:rFonts w:ascii="Times New Roman" w:hAnsi="Times New Roman" w:cs="Times New Roman"/>
          <w:sz w:val="24"/>
          <w:szCs w:val="24"/>
        </w:rPr>
        <w:t xml:space="preserve"> .670 z </w:t>
      </w:r>
      <w:proofErr w:type="spellStart"/>
      <w:r w:rsidR="003C7F2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C7F25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ustawy, z uwzględnieniem rodzaju przekazywanych danych.</w:t>
      </w:r>
    </w:p>
    <w:p w14:paraId="74858EB9" w14:textId="53F264D0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Wszelkie informacje stanowiące tajemnicę przedsiębiorstwa w rozumieniu ustawy z dnia 16 kwietnia 1993 r. o zwalczaniu nieuczciwej konkurencji </w:t>
      </w:r>
      <w:r w:rsidR="003C7F25" w:rsidRPr="003C7F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C7F25" w:rsidRPr="003C7F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C7F25" w:rsidRPr="003C7F25">
        <w:rPr>
          <w:rFonts w:ascii="Times New Roman" w:hAnsi="Times New Roman" w:cs="Times New Roman"/>
          <w:sz w:val="24"/>
          <w:szCs w:val="24"/>
        </w:rPr>
        <w:t xml:space="preserve">. Dz.U. z 2020 r. poz. 1913 z </w:t>
      </w:r>
      <w:proofErr w:type="spellStart"/>
      <w:r w:rsidR="003C7F25" w:rsidRPr="003C7F2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C7F25" w:rsidRPr="003C7F25">
        <w:rPr>
          <w:rFonts w:ascii="Times New Roman" w:hAnsi="Times New Roman" w:cs="Times New Roman"/>
          <w:sz w:val="24"/>
          <w:szCs w:val="24"/>
        </w:rPr>
        <w:t>. zm.)</w:t>
      </w:r>
      <w:r w:rsidR="003C7F25" w:rsidRPr="003C7F25" w:rsidDel="003C7F25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, które Wykonawca zastrzeże jako tajemnicę przedsiębiorstwa, powinny zostać złożone w odpowiednio wydzielonym i oznaczonym pliku.</w:t>
      </w:r>
    </w:p>
    <w:p w14:paraId="4295DE71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Cenę oferty należy przedstawić w formularzu oferty (które</w:t>
      </w:r>
      <w:r w:rsidR="002511DF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654078CA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0A837F87" w14:textId="15126DB6" w:rsidR="00F709D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6FE91D30" w14:textId="77777777" w:rsidR="00AB7901" w:rsidRPr="00AB7901" w:rsidRDefault="00AB790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575045F" w14:textId="5B9E86C2" w:rsidR="002D5808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XVI. TERMIN ZWIĄZANIA OFERTĄ</w:t>
      </w:r>
    </w:p>
    <w:p w14:paraId="1E7112F5" w14:textId="6843310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931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17.12.2021 r.</w:t>
      </w:r>
      <w:r w:rsidR="004D3F48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3DE8AB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 przypadku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3B8E46BF" w14:textId="77777777" w:rsidR="00482AAC" w:rsidRPr="00A464E7" w:rsidRDefault="00482AAC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792147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4A8D2EA2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F63050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F63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18.11.2021 r.</w:t>
      </w:r>
      <w:r w:rsidR="00BD2752"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623CA0"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4D3F48"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31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4D3F48"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4D3F48" w:rsidRPr="007B32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2F83050" w14:textId="77777777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260775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931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18.11.2021 r.</w:t>
      </w:r>
      <w:r w:rsidR="004D3F48" w:rsidRPr="00670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B79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623CA0">
        <w:rPr>
          <w:rFonts w:ascii="Times New Roman" w:hAnsi="Times New Roman" w:cs="Times New Roman"/>
          <w:b/>
          <w:sz w:val="24"/>
          <w:szCs w:val="24"/>
        </w:rPr>
        <w:t>10</w:t>
      </w:r>
      <w:r w:rsidR="004D3F48" w:rsidRPr="00670B79">
        <w:rPr>
          <w:rFonts w:ascii="Times New Roman" w:hAnsi="Times New Roman" w:cs="Times New Roman"/>
          <w:b/>
          <w:sz w:val="24"/>
          <w:szCs w:val="24"/>
        </w:rPr>
        <w:t>:</w:t>
      </w:r>
      <w:r w:rsidR="0093133C">
        <w:rPr>
          <w:rFonts w:ascii="Times New Roman" w:hAnsi="Times New Roman" w:cs="Times New Roman"/>
          <w:b/>
          <w:sz w:val="24"/>
          <w:szCs w:val="24"/>
        </w:rPr>
        <w:t>3</w:t>
      </w:r>
      <w:r w:rsidR="004D3F48" w:rsidRPr="00670B79">
        <w:rPr>
          <w:rFonts w:ascii="Times New Roman" w:hAnsi="Times New Roman" w:cs="Times New Roman"/>
          <w:b/>
          <w:sz w:val="24"/>
          <w:szCs w:val="24"/>
        </w:rPr>
        <w:t>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Najpóźniej przed otwarciem ofert, udostępnia się na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7110C59D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50404C9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6D0089">
        <w:rPr>
          <w:rFonts w:ascii="Times New Roman" w:hAnsi="Times New Roman" w:cs="Times New Roman"/>
          <w:sz w:val="24"/>
          <w:szCs w:val="24"/>
        </w:rPr>
        <w:t>W ocenie</w:t>
      </w:r>
      <w:r w:rsidRPr="00A464E7">
        <w:rPr>
          <w:rFonts w:ascii="Times New Roman" w:hAnsi="Times New Roman" w:cs="Times New Roman"/>
          <w:sz w:val="24"/>
          <w:szCs w:val="24"/>
        </w:rPr>
        <w:t xml:space="preserve"> ofert</w:t>
      </w:r>
      <w:r w:rsidR="006D0089">
        <w:rPr>
          <w:rFonts w:ascii="Times New Roman" w:hAnsi="Times New Roman" w:cs="Times New Roman"/>
          <w:sz w:val="24"/>
          <w:szCs w:val="24"/>
        </w:rPr>
        <w:t xml:space="preserve"> dla</w:t>
      </w:r>
      <w:r w:rsidR="00A866B5">
        <w:rPr>
          <w:rFonts w:ascii="Times New Roman" w:hAnsi="Times New Roman" w:cs="Times New Roman"/>
          <w:sz w:val="24"/>
          <w:szCs w:val="24"/>
        </w:rPr>
        <w:t xml:space="preserve">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</w:t>
      </w:r>
      <w:r w:rsidR="007751D9">
        <w:rPr>
          <w:rFonts w:ascii="Times New Roman" w:hAnsi="Times New Roman" w:cs="Times New Roman"/>
          <w:sz w:val="24"/>
          <w:szCs w:val="24"/>
        </w:rPr>
        <w:t>.</w:t>
      </w:r>
      <w:r w:rsidR="00A866B5">
        <w:rPr>
          <w:rFonts w:ascii="Times New Roman" w:hAnsi="Times New Roman" w:cs="Times New Roman"/>
          <w:sz w:val="24"/>
          <w:szCs w:val="24"/>
        </w:rPr>
        <w:t xml:space="preserve">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Zamawiający za  najkorzystniejszą uznana ofertę </w:t>
      </w:r>
      <w:r w:rsidR="006D0089">
        <w:rPr>
          <w:rFonts w:ascii="Times New Roman" w:hAnsi="Times New Roman" w:cs="Times New Roman"/>
          <w:sz w:val="24"/>
          <w:szCs w:val="24"/>
        </w:rPr>
        <w:t>z</w:t>
      </w:r>
      <w:r w:rsidR="006D008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najkorzystni</w:t>
      </w:r>
      <w:r w:rsidR="004B24D9">
        <w:rPr>
          <w:rFonts w:ascii="Times New Roman" w:hAnsi="Times New Roman" w:cs="Times New Roman"/>
          <w:sz w:val="24"/>
          <w:szCs w:val="24"/>
        </w:rPr>
        <w:t>ejszy</w:t>
      </w:r>
      <w:r w:rsidR="006D0089">
        <w:rPr>
          <w:rFonts w:ascii="Times New Roman" w:hAnsi="Times New Roman" w:cs="Times New Roman"/>
          <w:sz w:val="24"/>
          <w:szCs w:val="24"/>
        </w:rPr>
        <w:t>m</w:t>
      </w:r>
      <w:r w:rsidR="004B24D9">
        <w:rPr>
          <w:rFonts w:ascii="Times New Roman" w:hAnsi="Times New Roman" w:cs="Times New Roman"/>
          <w:sz w:val="24"/>
          <w:szCs w:val="24"/>
        </w:rPr>
        <w:t xml:space="preserve"> bilans</w:t>
      </w:r>
      <w:r w:rsidR="006D0089">
        <w:rPr>
          <w:rFonts w:ascii="Times New Roman" w:hAnsi="Times New Roman" w:cs="Times New Roman"/>
          <w:sz w:val="24"/>
          <w:szCs w:val="24"/>
        </w:rPr>
        <w:t>em</w:t>
      </w:r>
      <w:r w:rsidR="004B24D9">
        <w:rPr>
          <w:rFonts w:ascii="Times New Roman" w:hAnsi="Times New Roman" w:cs="Times New Roman"/>
          <w:sz w:val="24"/>
          <w:szCs w:val="24"/>
        </w:rPr>
        <w:t xml:space="preserve">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28C9BFA" w14:textId="42F92E0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C</w:t>
      </w:r>
    </w:p>
    <w:p w14:paraId="0053EAD8" w14:textId="3890C2E3" w:rsidR="004B24D9" w:rsidRDefault="00440BAE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Del="00440B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B24D9">
        <w:rPr>
          <w:rFonts w:ascii="Times New Roman" w:hAnsi="Times New Roman" w:cs="Times New Roman"/>
          <w:sz w:val="24"/>
          <w:szCs w:val="24"/>
        </w:rPr>
        <w:t>„Termin płatności” - P</w:t>
      </w:r>
    </w:p>
    <w:p w14:paraId="57AEADBB" w14:textId="634BD552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6F438453" w14:textId="71284A7B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2F3BBC">
        <w:rPr>
          <w:rFonts w:ascii="Times New Roman" w:hAnsi="Times New Roman" w:cs="Times New Roman"/>
          <w:sz w:val="24"/>
          <w:szCs w:val="24"/>
        </w:rPr>
        <w:t xml:space="preserve"> (dla każdej z części)</w:t>
      </w:r>
      <w:r w:rsidR="00A542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2"/>
        <w:gridCol w:w="8123"/>
      </w:tblGrid>
      <w:tr w:rsidR="004B24D9" w:rsidRPr="00F45135" w14:paraId="34C711CE" w14:textId="77777777" w:rsidTr="0093133C"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4B24D9" w:rsidRPr="0093133C" w:rsidRDefault="004B24D9" w:rsidP="002E6EAC">
            <w:pPr>
              <w:pStyle w:val="Zawartotabeli"/>
              <w:snapToGrid w:val="0"/>
              <w:jc w:val="center"/>
              <w:rPr>
                <w:sz w:val="22"/>
              </w:rPr>
            </w:pPr>
            <w:r w:rsidRPr="0093133C">
              <w:rPr>
                <w:sz w:val="22"/>
              </w:rPr>
              <w:t>Nr</w:t>
            </w:r>
            <w:r w:rsidRPr="0093133C">
              <w:rPr>
                <w:rFonts w:eastAsia="Times New Roman"/>
                <w:sz w:val="22"/>
              </w:rPr>
              <w:t xml:space="preserve"> </w:t>
            </w:r>
            <w:r w:rsidRPr="0093133C">
              <w:rPr>
                <w:sz w:val="22"/>
              </w:rPr>
              <w:t>kryterium</w:t>
            </w:r>
          </w:p>
        </w:tc>
        <w:tc>
          <w:tcPr>
            <w:tcW w:w="8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77777777" w:rsidR="004B24D9" w:rsidRPr="0093133C" w:rsidRDefault="004B24D9" w:rsidP="002E6EAC">
            <w:pPr>
              <w:pStyle w:val="Zawartotabeli"/>
              <w:snapToGrid w:val="0"/>
              <w:jc w:val="center"/>
              <w:rPr>
                <w:sz w:val="22"/>
              </w:rPr>
            </w:pPr>
            <w:r w:rsidRPr="0093133C">
              <w:rPr>
                <w:sz w:val="22"/>
              </w:rPr>
              <w:t>Wzór:</w:t>
            </w:r>
          </w:p>
        </w:tc>
      </w:tr>
      <w:tr w:rsidR="004B24D9" w:rsidRPr="00F45135" w14:paraId="458D8AFC" w14:textId="77777777" w:rsidTr="0093133C">
        <w:tc>
          <w:tcPr>
            <w:tcW w:w="13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02C8FA" w14:textId="77777777" w:rsidR="004B24D9" w:rsidRPr="00F45135" w:rsidRDefault="004B24D9" w:rsidP="002E6EAC">
            <w:pPr>
              <w:pStyle w:val="Zawartotabeli"/>
              <w:snapToGrid w:val="0"/>
              <w:jc w:val="center"/>
            </w:pPr>
            <w:r w:rsidRPr="00F45135">
              <w:t>1</w:t>
            </w:r>
          </w:p>
        </w:tc>
        <w:tc>
          <w:tcPr>
            <w:tcW w:w="81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9E5010E" w14:textId="76B29C6C" w:rsidR="004B24D9" w:rsidRPr="002E1F95" w:rsidRDefault="004B24D9" w:rsidP="002E6EAC">
            <w:pPr>
              <w:pStyle w:val="Zawartotabeli"/>
              <w:snapToGrid w:val="0"/>
              <w:jc w:val="center"/>
              <w:rPr>
                <w:b/>
              </w:rPr>
            </w:pPr>
            <w:r w:rsidRPr="002E1F95">
              <w:rPr>
                <w:b/>
              </w:rPr>
              <w:t>Cena</w:t>
            </w:r>
            <w:r w:rsidRPr="002E1F95">
              <w:rPr>
                <w:rFonts w:eastAsia="Times New Roman"/>
                <w:b/>
              </w:rPr>
              <w:t xml:space="preserve"> </w:t>
            </w:r>
            <w:r w:rsidRPr="002E1F95">
              <w:rPr>
                <w:b/>
              </w:rPr>
              <w:t>(koszt)</w:t>
            </w:r>
            <w:r w:rsidR="00A41114">
              <w:rPr>
                <w:b/>
              </w:rPr>
              <w:t>:</w:t>
            </w:r>
          </w:p>
          <w:p w14:paraId="31662E95" w14:textId="3DE6DC26" w:rsidR="004B24D9" w:rsidRPr="00F45135" w:rsidRDefault="004B24D9" w:rsidP="002E6EAC">
            <w:pPr>
              <w:pStyle w:val="Zawartotabeli"/>
              <w:jc w:val="center"/>
            </w:pPr>
            <w:r w:rsidRPr="00F45135">
              <w:t>Liczba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punktów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=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(</w:t>
            </w:r>
            <w:proofErr w:type="spellStart"/>
            <w:r w:rsidRPr="00F45135">
              <w:t>C</w:t>
            </w:r>
            <w:r w:rsidRPr="00F45135">
              <w:rPr>
                <w:vertAlign w:val="subscript"/>
              </w:rPr>
              <w:t>min</w:t>
            </w:r>
            <w:proofErr w:type="spellEnd"/>
            <w:r w:rsidRPr="00F45135">
              <w:t>/</w:t>
            </w:r>
            <w:proofErr w:type="spellStart"/>
            <w:r w:rsidRPr="00F45135">
              <w:t>C</w:t>
            </w:r>
            <w:r w:rsidRPr="00F45135">
              <w:rPr>
                <w:vertAlign w:val="subscript"/>
              </w:rPr>
              <w:t>of</w:t>
            </w:r>
            <w:proofErr w:type="spellEnd"/>
            <w:r w:rsidRPr="00F45135">
              <w:t>)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x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100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x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60</w:t>
            </w:r>
            <w:r w:rsidR="003F7554">
              <w:t>%</w:t>
            </w:r>
          </w:p>
          <w:p w14:paraId="3815E252" w14:textId="77777777" w:rsidR="004B24D9" w:rsidRPr="00F45135" w:rsidRDefault="004B24D9" w:rsidP="002E6EAC">
            <w:pPr>
              <w:pStyle w:val="Zawartotabeli"/>
              <w:jc w:val="center"/>
            </w:pPr>
            <w:r w:rsidRPr="00F45135">
              <w:t>gdzie:</w:t>
            </w:r>
          </w:p>
          <w:p w14:paraId="3A98359D" w14:textId="77777777" w:rsidR="004B24D9" w:rsidRPr="00F45135" w:rsidRDefault="004B24D9" w:rsidP="002E6EAC">
            <w:pPr>
              <w:pStyle w:val="Zawartotabeli"/>
              <w:jc w:val="center"/>
            </w:pPr>
            <w:r w:rsidRPr="00F45135">
              <w:t>-</w:t>
            </w:r>
            <w:r w:rsidRPr="00F45135">
              <w:rPr>
                <w:rFonts w:eastAsia="Times New Roman"/>
              </w:rPr>
              <w:t xml:space="preserve"> </w:t>
            </w:r>
            <w:proofErr w:type="spellStart"/>
            <w:r w:rsidRPr="00F45135">
              <w:t>C</w:t>
            </w:r>
            <w:r w:rsidRPr="00F45135">
              <w:rPr>
                <w:vertAlign w:val="subscript"/>
              </w:rPr>
              <w:t>min</w:t>
            </w:r>
            <w:proofErr w:type="spellEnd"/>
            <w:r w:rsidRPr="00F45135">
              <w:rPr>
                <w:rFonts w:eastAsia="Times New Roman"/>
              </w:rPr>
              <w:t xml:space="preserve"> – </w:t>
            </w:r>
            <w:r w:rsidRPr="00F45135">
              <w:t>najniższa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cena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spośród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ważnych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ofert</w:t>
            </w:r>
          </w:p>
          <w:p w14:paraId="7C4D88FF" w14:textId="77777777" w:rsidR="004B24D9" w:rsidRPr="00F45135" w:rsidRDefault="004B24D9" w:rsidP="002E6EAC">
            <w:pPr>
              <w:pStyle w:val="Zawartotabeli"/>
              <w:jc w:val="center"/>
            </w:pPr>
            <w:r w:rsidRPr="00F45135">
              <w:t>-</w:t>
            </w:r>
            <w:r w:rsidRPr="00F45135">
              <w:rPr>
                <w:rFonts w:eastAsia="Times New Roman"/>
              </w:rPr>
              <w:t xml:space="preserve"> </w:t>
            </w:r>
            <w:proofErr w:type="spellStart"/>
            <w:r w:rsidRPr="00F45135">
              <w:t>C</w:t>
            </w:r>
            <w:r w:rsidRPr="00F45135">
              <w:rPr>
                <w:vertAlign w:val="subscript"/>
              </w:rPr>
              <w:t>of</w:t>
            </w:r>
            <w:proofErr w:type="spellEnd"/>
            <w:r w:rsidRPr="00F45135">
              <w:rPr>
                <w:rFonts w:eastAsia="Times New Roman"/>
              </w:rPr>
              <w:t xml:space="preserve"> – </w:t>
            </w:r>
            <w:r w:rsidRPr="00F45135">
              <w:t>cena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podana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w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badanej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ofercie</w:t>
            </w:r>
          </w:p>
        </w:tc>
      </w:tr>
      <w:tr w:rsidR="004B24D9" w:rsidRPr="00F45135" w14:paraId="22087DFA" w14:textId="77777777" w:rsidTr="0093133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B232" w14:textId="77777777" w:rsidR="004B24D9" w:rsidRPr="00F45135" w:rsidRDefault="004B24D9" w:rsidP="002E6EAC">
            <w:pPr>
              <w:pStyle w:val="Zawartotabeli"/>
              <w:snapToGrid w:val="0"/>
              <w:jc w:val="center"/>
            </w:pPr>
            <w:r w:rsidRPr="00F45135">
              <w:t>2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2167" w14:textId="77777777" w:rsidR="004B24D9" w:rsidRPr="00F45135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lang w:val="pl-PL"/>
              </w:rPr>
            </w:pPr>
            <w:r w:rsidRPr="00F45135">
              <w:rPr>
                <w:b/>
                <w:bCs/>
                <w:lang w:val="pl-PL"/>
              </w:rPr>
              <w:t>Termin</w:t>
            </w:r>
            <w:r w:rsidRPr="00F45135">
              <w:rPr>
                <w:rFonts w:eastAsia="Times New Roman"/>
                <w:b/>
                <w:bCs/>
                <w:lang w:val="pl-PL"/>
              </w:rPr>
              <w:t xml:space="preserve"> płatności</w:t>
            </w:r>
            <w:r w:rsidRPr="00F45135">
              <w:rPr>
                <w:b/>
                <w:bCs/>
                <w:lang w:val="pl-PL"/>
              </w:rPr>
              <w:t>:</w:t>
            </w:r>
          </w:p>
          <w:p w14:paraId="47CC1BD9" w14:textId="79A96B08" w:rsidR="004B24D9" w:rsidRPr="00F45135" w:rsidRDefault="004B24D9" w:rsidP="002E6EA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0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7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552CD8" w14:textId="77777777" w:rsidR="004B24D9" w:rsidRPr="00F45135" w:rsidRDefault="004B24D9" w:rsidP="002E6EA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gdzie:</w:t>
            </w:r>
          </w:p>
          <w:p w14:paraId="6AA65294" w14:textId="77777777" w:rsidR="004B24D9" w:rsidRPr="00F45135" w:rsidRDefault="004B24D9" w:rsidP="002E6EA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badanej</w:t>
            </w:r>
          </w:p>
          <w:p w14:paraId="09BAD834" w14:textId="7E98A9B0" w:rsidR="004B24D9" w:rsidRPr="00F45135" w:rsidRDefault="004B24D9" w:rsidP="002E6EA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najwyższa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7554">
              <w:rPr>
                <w:rFonts w:ascii="Times New Roman" w:hAnsi="Times New Roman" w:cs="Times New Roman"/>
                <w:sz w:val="24"/>
                <w:szCs w:val="24"/>
              </w:rPr>
              <w:t>możliwa ilość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="003F75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04ED99" w14:textId="5783891C" w:rsidR="004B24D9" w:rsidRPr="00F45135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lang w:val="pl-PL"/>
              </w:rPr>
            </w:pPr>
            <w:r w:rsidRPr="00F45135">
              <w:rPr>
                <w:lang w:val="pl-PL"/>
              </w:rPr>
              <w:t>Zamawiający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oczekuje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terminu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płatności do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="00F45135">
              <w:rPr>
                <w:lang w:val="pl-PL"/>
              </w:rPr>
              <w:t>7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lub do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30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dni.</w:t>
            </w:r>
          </w:p>
          <w:p w14:paraId="3B599D37" w14:textId="77777777" w:rsidR="002E6EAC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lang w:val="pl-PL"/>
              </w:rPr>
            </w:pPr>
            <w:r w:rsidRPr="00F45135">
              <w:rPr>
                <w:lang w:val="pl-PL"/>
              </w:rPr>
              <w:t>Zamawiający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będzie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przyznawał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punkty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za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termin</w:t>
            </w:r>
            <w:r w:rsidRPr="00F45135">
              <w:rPr>
                <w:rFonts w:eastAsia="Times New Roman"/>
                <w:lang w:val="pl-PL"/>
              </w:rPr>
              <w:t xml:space="preserve"> płatności </w:t>
            </w:r>
            <w:r w:rsidRPr="00F45135">
              <w:rPr>
                <w:lang w:val="pl-PL"/>
              </w:rPr>
              <w:t>według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następujących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kryteriów: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</w:p>
          <w:p w14:paraId="74C7B506" w14:textId="77777777" w:rsidR="002E6EAC" w:rsidRDefault="00F45135" w:rsidP="002E6EAC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F45135">
              <w:rPr>
                <w:rFonts w:eastAsia="Times New Roman"/>
                <w:b/>
                <w:lang w:val="pl-PL"/>
              </w:rPr>
              <w:t xml:space="preserve">od 7 </w:t>
            </w:r>
            <w:r w:rsidR="004B24D9" w:rsidRPr="00F45135">
              <w:rPr>
                <w:rFonts w:eastAsia="Times New Roman"/>
                <w:b/>
                <w:bCs/>
                <w:lang w:val="pl-PL"/>
              </w:rPr>
              <w:t>do</w:t>
            </w:r>
            <w:r w:rsidR="004B24D9" w:rsidRPr="00F45135">
              <w:rPr>
                <w:rFonts w:eastAsia="Times New Roman"/>
                <w:lang w:val="pl-PL"/>
              </w:rPr>
              <w:t xml:space="preserve"> </w:t>
            </w:r>
            <w:r>
              <w:rPr>
                <w:rFonts w:eastAsia="Times New Roman"/>
                <w:b/>
                <w:bCs/>
                <w:lang w:val="pl-PL"/>
              </w:rPr>
              <w:t>14</w:t>
            </w:r>
            <w:r w:rsidR="004B24D9" w:rsidRPr="00F45135">
              <w:rPr>
                <w:rFonts w:eastAsia="Times New Roman"/>
                <w:b/>
                <w:bCs/>
                <w:lang w:val="pl-PL"/>
              </w:rPr>
              <w:t xml:space="preserve"> dni włącznie – </w:t>
            </w:r>
            <w:r w:rsidR="004B24D9" w:rsidRPr="00F45135">
              <w:rPr>
                <w:b/>
                <w:bCs/>
                <w:lang w:val="pl-PL"/>
              </w:rPr>
              <w:t>0</w:t>
            </w:r>
            <w:r w:rsidR="004B24D9" w:rsidRPr="00F45135">
              <w:rPr>
                <w:rFonts w:eastAsia="Times New Roman"/>
                <w:b/>
                <w:bCs/>
                <w:lang w:val="pl-PL"/>
              </w:rPr>
              <w:t xml:space="preserve"> </w:t>
            </w:r>
            <w:r w:rsidR="004B24D9" w:rsidRPr="00F45135">
              <w:rPr>
                <w:b/>
                <w:bCs/>
                <w:lang w:val="pl-PL"/>
              </w:rPr>
              <w:t>pkt;</w:t>
            </w:r>
            <w:r w:rsidR="004B24D9" w:rsidRPr="00F45135">
              <w:rPr>
                <w:rFonts w:eastAsia="Times New Roman"/>
                <w:b/>
                <w:bCs/>
                <w:lang w:val="pl-PL"/>
              </w:rPr>
              <w:t xml:space="preserve"> </w:t>
            </w:r>
          </w:p>
          <w:p w14:paraId="2A5B7C21" w14:textId="3E785005" w:rsidR="002E6EAC" w:rsidRDefault="00F03207" w:rsidP="002E6EAC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bCs/>
                <w:lang w:val="pl-PL"/>
              </w:rPr>
            </w:pPr>
            <w:r>
              <w:rPr>
                <w:rFonts w:eastAsia="Times New Roman"/>
                <w:b/>
                <w:bCs/>
                <w:lang w:val="pl-PL"/>
              </w:rPr>
              <w:t>od 7</w:t>
            </w:r>
            <w:r w:rsidR="00F45135">
              <w:rPr>
                <w:rFonts w:eastAsia="Times New Roman"/>
                <w:b/>
                <w:bCs/>
                <w:lang w:val="pl-PL"/>
              </w:rPr>
              <w:t xml:space="preserve"> do 21</w:t>
            </w:r>
            <w:r w:rsidR="002E6EAC">
              <w:rPr>
                <w:rFonts w:eastAsia="Times New Roman"/>
                <w:b/>
                <w:bCs/>
                <w:lang w:val="pl-PL"/>
              </w:rPr>
              <w:t xml:space="preserve"> dni włącznie – 1 pkt; </w:t>
            </w:r>
          </w:p>
          <w:p w14:paraId="381BF4F4" w14:textId="0087A3E9" w:rsidR="004B24D9" w:rsidRPr="00F45135" w:rsidRDefault="00F03207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lang w:val="pl-PL"/>
              </w:rPr>
            </w:pPr>
            <w:r>
              <w:rPr>
                <w:rFonts w:eastAsia="Times New Roman"/>
                <w:b/>
                <w:bCs/>
                <w:lang w:val="pl-PL"/>
              </w:rPr>
              <w:t>od 7</w:t>
            </w:r>
            <w:r w:rsidR="00F45135">
              <w:rPr>
                <w:rFonts w:eastAsia="Times New Roman"/>
                <w:b/>
                <w:bCs/>
                <w:lang w:val="pl-PL"/>
              </w:rPr>
              <w:t xml:space="preserve"> </w:t>
            </w:r>
            <w:r w:rsidR="004B24D9" w:rsidRPr="00F45135">
              <w:rPr>
                <w:rFonts w:eastAsia="Times New Roman"/>
                <w:b/>
                <w:bCs/>
                <w:lang w:val="pl-PL"/>
              </w:rPr>
              <w:t xml:space="preserve">do 30 dni włącznie– </w:t>
            </w:r>
            <w:r w:rsidR="002E6EAC">
              <w:rPr>
                <w:b/>
                <w:bCs/>
                <w:lang w:val="pl-PL"/>
              </w:rPr>
              <w:t>2</w:t>
            </w:r>
            <w:r w:rsidR="004B24D9" w:rsidRPr="00F45135">
              <w:rPr>
                <w:rFonts w:eastAsia="Times New Roman"/>
                <w:b/>
                <w:bCs/>
                <w:lang w:val="pl-PL"/>
              </w:rPr>
              <w:t xml:space="preserve"> </w:t>
            </w:r>
            <w:r w:rsidR="004B24D9" w:rsidRPr="00F45135">
              <w:rPr>
                <w:b/>
                <w:bCs/>
                <w:lang w:val="pl-PL"/>
              </w:rPr>
              <w:t>pkt</w:t>
            </w:r>
            <w:r w:rsidR="004B24D9" w:rsidRPr="00F45135">
              <w:rPr>
                <w:rFonts w:eastAsia="Times New Roman"/>
                <w:b/>
                <w:bCs/>
                <w:lang w:val="pl-PL"/>
              </w:rPr>
              <w:t xml:space="preserve"> </w:t>
            </w:r>
          </w:p>
          <w:p w14:paraId="069559D6" w14:textId="77777777" w:rsidR="002E6EAC" w:rsidRDefault="002E6EAC" w:rsidP="002E6EAC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bCs/>
                <w:sz w:val="22"/>
                <w:lang w:val="pl-PL"/>
              </w:rPr>
            </w:pPr>
          </w:p>
          <w:p w14:paraId="2C6A1A7E" w14:textId="75E74629" w:rsidR="00A41114" w:rsidRPr="002E6EAC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2"/>
                <w:lang w:val="pl-PL"/>
              </w:rPr>
            </w:pPr>
            <w:r w:rsidRPr="002E6EAC">
              <w:rPr>
                <w:rFonts w:eastAsia="Times New Roman"/>
                <w:b/>
                <w:bCs/>
                <w:sz w:val="22"/>
                <w:lang w:val="pl-PL"/>
              </w:rPr>
              <w:t xml:space="preserve">UWAGA </w:t>
            </w:r>
          </w:p>
          <w:p w14:paraId="46BED544" w14:textId="4FFBD667" w:rsidR="004B24D9" w:rsidRPr="002E6EAC" w:rsidRDefault="004B24D9" w:rsidP="0093133C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</w:rPr>
            </w:pPr>
            <w:r w:rsidRPr="002E6EAC">
              <w:t>W</w:t>
            </w:r>
            <w:r w:rsidRPr="002E6EAC">
              <w:rPr>
                <w:rFonts w:eastAsia="Times New Roman"/>
              </w:rPr>
              <w:t xml:space="preserve"> </w:t>
            </w:r>
            <w:r w:rsidRPr="002E6EAC">
              <w:t>przypadku,</w:t>
            </w:r>
            <w:r w:rsidRPr="002E6EAC">
              <w:rPr>
                <w:rFonts w:eastAsia="Times New Roman"/>
              </w:rPr>
              <w:t xml:space="preserve"> </w:t>
            </w:r>
            <w:r w:rsidRPr="002E6EAC">
              <w:t>gdy</w:t>
            </w:r>
            <w:r w:rsidRPr="002E6EAC">
              <w:rPr>
                <w:rFonts w:eastAsia="Times New Roman"/>
              </w:rPr>
              <w:t xml:space="preserve"> </w:t>
            </w:r>
            <w:r w:rsidRPr="002E6EAC">
              <w:t>Wykonawca</w:t>
            </w:r>
            <w:r w:rsidRPr="002E6EAC">
              <w:rPr>
                <w:rFonts w:eastAsia="Times New Roman"/>
              </w:rPr>
              <w:t xml:space="preserve"> </w:t>
            </w:r>
            <w:r w:rsidRPr="002E6EAC">
              <w:t>w</w:t>
            </w:r>
            <w:r w:rsidRPr="002E6EAC">
              <w:rPr>
                <w:rFonts w:eastAsia="Times New Roman"/>
              </w:rPr>
              <w:t xml:space="preserve"> </w:t>
            </w:r>
            <w:r w:rsidRPr="002E6EAC">
              <w:t>formularzu</w:t>
            </w:r>
            <w:r w:rsidRPr="002E6EAC">
              <w:rPr>
                <w:rFonts w:eastAsia="Times New Roman"/>
              </w:rPr>
              <w:t xml:space="preserve"> </w:t>
            </w:r>
            <w:r w:rsidRPr="002E6EAC">
              <w:t>oferty</w:t>
            </w:r>
            <w:r w:rsidRPr="002E6EAC">
              <w:rPr>
                <w:rFonts w:eastAsia="Times New Roman"/>
              </w:rPr>
              <w:t xml:space="preserve"> </w:t>
            </w:r>
            <w:r w:rsidRPr="002E6EAC">
              <w:t>nie</w:t>
            </w:r>
            <w:r w:rsidRPr="002E6EAC">
              <w:rPr>
                <w:rFonts w:eastAsia="Times New Roman"/>
              </w:rPr>
              <w:t xml:space="preserve"> </w:t>
            </w:r>
            <w:r w:rsidRPr="002E6EAC">
              <w:t>poda</w:t>
            </w:r>
            <w:r w:rsidRPr="002E6EAC">
              <w:rPr>
                <w:rFonts w:eastAsia="Times New Roman"/>
              </w:rPr>
              <w:t xml:space="preserve"> </w:t>
            </w:r>
            <w:r w:rsidRPr="002E6EAC">
              <w:t>terminu</w:t>
            </w:r>
            <w:r w:rsidRPr="002E6EAC">
              <w:rPr>
                <w:rFonts w:eastAsia="Times New Roman"/>
              </w:rPr>
              <w:t xml:space="preserve"> </w:t>
            </w:r>
            <w:r w:rsidRPr="002E6EAC">
              <w:t>płatności</w:t>
            </w:r>
            <w:r w:rsidRPr="002E6EAC">
              <w:rPr>
                <w:rFonts w:eastAsia="Times New Roman"/>
              </w:rPr>
              <w:t xml:space="preserve">, </w:t>
            </w:r>
            <w:r w:rsidRPr="002E6EAC">
              <w:t>Zamawiający</w:t>
            </w:r>
            <w:r w:rsidRPr="002E6EAC">
              <w:rPr>
                <w:rFonts w:eastAsia="Times New Roman"/>
              </w:rPr>
              <w:t xml:space="preserve"> </w:t>
            </w:r>
            <w:r w:rsidRPr="002E6EAC">
              <w:t>przyj</w:t>
            </w:r>
            <w:r w:rsidRPr="002E6EAC">
              <w:softHyphen/>
              <w:t>mie</w:t>
            </w:r>
            <w:r w:rsidRPr="002E6EAC">
              <w:rPr>
                <w:rFonts w:eastAsia="Times New Roman"/>
              </w:rPr>
              <w:t xml:space="preserve"> </w:t>
            </w:r>
            <w:r w:rsidRPr="002E6EAC">
              <w:t>termin</w:t>
            </w:r>
            <w:r w:rsidRPr="002E6EAC">
              <w:rPr>
                <w:rFonts w:eastAsia="Times New Roman"/>
              </w:rPr>
              <w:t xml:space="preserve"> </w:t>
            </w:r>
            <w:r w:rsidRPr="002E6EAC">
              <w:t>płatności</w:t>
            </w:r>
            <w:r w:rsidRPr="002E6EAC">
              <w:rPr>
                <w:rFonts w:eastAsia="Times New Roman"/>
              </w:rPr>
              <w:t xml:space="preserve"> </w:t>
            </w:r>
            <w:r w:rsidR="00440BAE">
              <w:rPr>
                <w:rFonts w:eastAsia="Times New Roman"/>
              </w:rPr>
              <w:t>do 14</w:t>
            </w:r>
            <w:r w:rsidR="002E6EAC" w:rsidRPr="002E6EAC">
              <w:rPr>
                <w:rFonts w:eastAsia="Times New Roman"/>
              </w:rPr>
              <w:t xml:space="preserve"> dni </w:t>
            </w:r>
            <w:r w:rsidRPr="002E6EAC">
              <w:t>i</w:t>
            </w:r>
            <w:r w:rsidRPr="002E6EAC">
              <w:rPr>
                <w:rFonts w:eastAsia="Times New Roman"/>
              </w:rPr>
              <w:t xml:space="preserve"> </w:t>
            </w:r>
            <w:r w:rsidRPr="002E6EAC">
              <w:t>przyzna</w:t>
            </w:r>
            <w:r w:rsidRPr="002E6EAC">
              <w:rPr>
                <w:rFonts w:eastAsia="Times New Roman"/>
              </w:rPr>
              <w:t xml:space="preserve"> </w:t>
            </w:r>
            <w:r w:rsidRPr="002E6EAC">
              <w:t>Wykonawcy</w:t>
            </w:r>
            <w:r w:rsidRPr="002E6EAC">
              <w:rPr>
                <w:rFonts w:eastAsia="Times New Roman"/>
              </w:rPr>
              <w:t xml:space="preserve"> </w:t>
            </w:r>
            <w:r w:rsidRPr="002E6EAC">
              <w:t>0</w:t>
            </w:r>
            <w:r w:rsidRPr="002E6EAC">
              <w:rPr>
                <w:rFonts w:eastAsia="Times New Roman"/>
              </w:rPr>
              <w:t xml:space="preserve"> </w:t>
            </w:r>
            <w:r w:rsidRPr="002E6EAC">
              <w:t>pkt</w:t>
            </w:r>
            <w:r w:rsidRPr="002E6EAC">
              <w:rPr>
                <w:rFonts w:eastAsia="Times New Roman"/>
              </w:rPr>
              <w:t xml:space="preserve"> </w:t>
            </w:r>
            <w:r w:rsidR="00A41114">
              <w:t>w</w:t>
            </w:r>
            <w:r w:rsidR="00A41114" w:rsidRPr="002E6EAC">
              <w:rPr>
                <w:rFonts w:eastAsia="Times New Roman"/>
              </w:rPr>
              <w:t xml:space="preserve"> </w:t>
            </w:r>
            <w:r w:rsidRPr="002E6EAC">
              <w:t>oce</w:t>
            </w:r>
            <w:r w:rsidRPr="002E6EAC">
              <w:softHyphen/>
              <w:t>n</w:t>
            </w:r>
            <w:r w:rsidR="00A41114">
              <w:t>ie</w:t>
            </w:r>
            <w:r w:rsidRPr="002E6EAC">
              <w:rPr>
                <w:rFonts w:eastAsia="Times New Roman"/>
              </w:rPr>
              <w:t xml:space="preserve"> </w:t>
            </w:r>
            <w:r w:rsidRPr="002E6EAC">
              <w:t>ofert.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091E4336" w14:textId="0B5CFF65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3876DA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332C6219" w14:textId="77777777" w:rsidR="006D0089" w:rsidRDefault="006D0089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55BF3B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E6EAC">
        <w:rPr>
          <w:rFonts w:ascii="Times New Roman" w:hAnsi="Times New Roman" w:cs="Times New Roman"/>
          <w:sz w:val="24"/>
          <w:szCs w:val="24"/>
        </w:rPr>
        <w:t>ałącznik nr 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Zakres świadczenia Wykonawcy wynikający z umowy jest tożsamy z jego zobowiązaniem zawartym w ofercie.</w:t>
      </w:r>
    </w:p>
    <w:p w14:paraId="25540C89" w14:textId="171FFD0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2E6EAC">
        <w:rPr>
          <w:rFonts w:ascii="Times New Roman" w:hAnsi="Times New Roman" w:cs="Times New Roman"/>
          <w:sz w:val="24"/>
          <w:szCs w:val="24"/>
        </w:rPr>
        <w:t>ałącznik nr 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5A5C22AF" w14:textId="2BAB3BBC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46CF890E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2D99882E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90D0C">
        <w:rPr>
          <w:rFonts w:ascii="Times New Roman" w:hAnsi="Times New Roman" w:cs="Times New Roman"/>
          <w:sz w:val="24"/>
          <w:szCs w:val="24"/>
        </w:rPr>
        <w:t>O</w:t>
      </w:r>
      <w:r w:rsidR="00590D0C" w:rsidRPr="00A464E7">
        <w:rPr>
          <w:rFonts w:ascii="Times New Roman" w:hAnsi="Times New Roman" w:cs="Times New Roman"/>
          <w:sz w:val="24"/>
          <w:szCs w:val="24"/>
        </w:rPr>
        <w:t>świadczenia o</w:t>
      </w:r>
      <w:r w:rsidR="00590D0C">
        <w:rPr>
          <w:rFonts w:ascii="Times New Roman" w:hAnsi="Times New Roman" w:cs="Times New Roman"/>
          <w:sz w:val="24"/>
          <w:szCs w:val="24"/>
        </w:rPr>
        <w:t xml:space="preserve"> spełnianiu warunków udziału w postępowaniu;</w:t>
      </w:r>
    </w:p>
    <w:p w14:paraId="0FDE6685" w14:textId="7B314686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90D0C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3345C635" w14:textId="34F8D94C" w:rsidR="00CE3EDF" w:rsidRDefault="00590D0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E6E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Oświadczenie o tajemnicy przedsiębiorstwa.</w:t>
      </w:r>
    </w:p>
    <w:p w14:paraId="1D0C909A" w14:textId="791C8669" w:rsidR="002F3BBC" w:rsidRPr="00CE3EDF" w:rsidRDefault="002F3BB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1334C" w14:textId="77777777" w:rsidR="00E84293" w:rsidRDefault="00E84293" w:rsidP="004F520A">
      <w:pPr>
        <w:spacing w:after="0" w:line="240" w:lineRule="auto"/>
      </w:pPr>
      <w:r>
        <w:separator/>
      </w:r>
    </w:p>
  </w:endnote>
  <w:endnote w:type="continuationSeparator" w:id="0">
    <w:p w14:paraId="5B1E6EF8" w14:textId="77777777" w:rsidR="00E84293" w:rsidRDefault="00E84293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2B8C9DA5" w:rsidR="00EC43ED" w:rsidRDefault="00EC43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789">
          <w:rPr>
            <w:noProof/>
          </w:rPr>
          <w:t>5</w:t>
        </w:r>
        <w:r>
          <w:fldChar w:fldCharType="end"/>
        </w:r>
      </w:p>
    </w:sdtContent>
  </w:sdt>
  <w:p w14:paraId="62884695" w14:textId="77777777" w:rsidR="00EC43ED" w:rsidRDefault="00EC43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07D7" w14:textId="77777777" w:rsidR="00E84293" w:rsidRDefault="00E84293" w:rsidP="004F520A">
      <w:pPr>
        <w:spacing w:after="0" w:line="240" w:lineRule="auto"/>
      </w:pPr>
      <w:r>
        <w:separator/>
      </w:r>
    </w:p>
  </w:footnote>
  <w:footnote w:type="continuationSeparator" w:id="0">
    <w:p w14:paraId="09625D10" w14:textId="77777777" w:rsidR="00E84293" w:rsidRDefault="00E84293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6639A670" w:rsidR="00EC43ED" w:rsidRDefault="00EC43ED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59C900A8" w:rsidR="00EC43ED" w:rsidRPr="005E5FAF" w:rsidRDefault="00EC43ED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>
      <w:rPr>
        <w:rFonts w:ascii="Times New Roman" w:hAnsi="Times New Roman" w:cs="Times New Roman"/>
        <w:color w:val="2F5496" w:themeColor="accent1" w:themeShade="BF"/>
      </w:rPr>
      <w:t>ZP/14/2021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6A1F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1B985C7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12"/>
  </w:num>
  <w:num w:numId="6">
    <w:abstractNumId w:val="8"/>
  </w:num>
  <w:num w:numId="7">
    <w:abstractNumId w:val="10"/>
  </w:num>
  <w:num w:numId="8">
    <w:abstractNumId w:val="9"/>
  </w:num>
  <w:num w:numId="9">
    <w:abstractNumId w:val="13"/>
  </w:num>
  <w:num w:numId="10">
    <w:abstractNumId w:val="6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23018"/>
    <w:rsid w:val="00026495"/>
    <w:rsid w:val="0003705D"/>
    <w:rsid w:val="000403E0"/>
    <w:rsid w:val="000508CC"/>
    <w:rsid w:val="00056C4E"/>
    <w:rsid w:val="00064045"/>
    <w:rsid w:val="00064256"/>
    <w:rsid w:val="00066C59"/>
    <w:rsid w:val="0007192F"/>
    <w:rsid w:val="000826F0"/>
    <w:rsid w:val="00083C3B"/>
    <w:rsid w:val="00090C6C"/>
    <w:rsid w:val="00093985"/>
    <w:rsid w:val="00096AE4"/>
    <w:rsid w:val="000B4356"/>
    <w:rsid w:val="000B76E8"/>
    <w:rsid w:val="000D6454"/>
    <w:rsid w:val="000F7F36"/>
    <w:rsid w:val="00103CA6"/>
    <w:rsid w:val="001361B8"/>
    <w:rsid w:val="00142AE1"/>
    <w:rsid w:val="00154F8E"/>
    <w:rsid w:val="001553AE"/>
    <w:rsid w:val="00166412"/>
    <w:rsid w:val="00167776"/>
    <w:rsid w:val="0018280B"/>
    <w:rsid w:val="00194DBC"/>
    <w:rsid w:val="00197B06"/>
    <w:rsid w:val="001A13EC"/>
    <w:rsid w:val="001B5067"/>
    <w:rsid w:val="001E743A"/>
    <w:rsid w:val="001F2969"/>
    <w:rsid w:val="001F78C1"/>
    <w:rsid w:val="00200874"/>
    <w:rsid w:val="002009AC"/>
    <w:rsid w:val="002168FF"/>
    <w:rsid w:val="00235D58"/>
    <w:rsid w:val="002368AA"/>
    <w:rsid w:val="00244A44"/>
    <w:rsid w:val="002511DF"/>
    <w:rsid w:val="0025344D"/>
    <w:rsid w:val="00270628"/>
    <w:rsid w:val="00272977"/>
    <w:rsid w:val="00282848"/>
    <w:rsid w:val="002A1512"/>
    <w:rsid w:val="002A25DC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3BBC"/>
    <w:rsid w:val="002F7E84"/>
    <w:rsid w:val="002F7EF9"/>
    <w:rsid w:val="00333F46"/>
    <w:rsid w:val="0033602C"/>
    <w:rsid w:val="00344043"/>
    <w:rsid w:val="00355E76"/>
    <w:rsid w:val="00355EDC"/>
    <w:rsid w:val="003676B0"/>
    <w:rsid w:val="003A048D"/>
    <w:rsid w:val="003B4737"/>
    <w:rsid w:val="003B7D48"/>
    <w:rsid w:val="003C7F25"/>
    <w:rsid w:val="003D0441"/>
    <w:rsid w:val="003E1A56"/>
    <w:rsid w:val="003F0DBC"/>
    <w:rsid w:val="003F5E33"/>
    <w:rsid w:val="003F7554"/>
    <w:rsid w:val="00412C82"/>
    <w:rsid w:val="00424A4F"/>
    <w:rsid w:val="00432854"/>
    <w:rsid w:val="004374A0"/>
    <w:rsid w:val="00440BAE"/>
    <w:rsid w:val="0044148A"/>
    <w:rsid w:val="00450B94"/>
    <w:rsid w:val="0047346F"/>
    <w:rsid w:val="004744A7"/>
    <w:rsid w:val="00482AAC"/>
    <w:rsid w:val="004925A4"/>
    <w:rsid w:val="0049737F"/>
    <w:rsid w:val="004B0D62"/>
    <w:rsid w:val="004B24D9"/>
    <w:rsid w:val="004B397B"/>
    <w:rsid w:val="004C334D"/>
    <w:rsid w:val="004D3F48"/>
    <w:rsid w:val="004D75F6"/>
    <w:rsid w:val="004D76D4"/>
    <w:rsid w:val="004E168D"/>
    <w:rsid w:val="004F520A"/>
    <w:rsid w:val="005019D6"/>
    <w:rsid w:val="00512EC5"/>
    <w:rsid w:val="0054196D"/>
    <w:rsid w:val="00554A7E"/>
    <w:rsid w:val="00563865"/>
    <w:rsid w:val="00577580"/>
    <w:rsid w:val="00590D0C"/>
    <w:rsid w:val="00591179"/>
    <w:rsid w:val="005A2E09"/>
    <w:rsid w:val="005A4E97"/>
    <w:rsid w:val="005B7125"/>
    <w:rsid w:val="005C0063"/>
    <w:rsid w:val="005D0905"/>
    <w:rsid w:val="005E0FBE"/>
    <w:rsid w:val="005E5FAF"/>
    <w:rsid w:val="005F2B33"/>
    <w:rsid w:val="00611EAB"/>
    <w:rsid w:val="00623CA0"/>
    <w:rsid w:val="00631E1D"/>
    <w:rsid w:val="00641DBA"/>
    <w:rsid w:val="00650DA1"/>
    <w:rsid w:val="0066206F"/>
    <w:rsid w:val="00666BCA"/>
    <w:rsid w:val="00670B79"/>
    <w:rsid w:val="006715C2"/>
    <w:rsid w:val="00676473"/>
    <w:rsid w:val="006B49BE"/>
    <w:rsid w:val="006D0089"/>
    <w:rsid w:val="00705156"/>
    <w:rsid w:val="007226DB"/>
    <w:rsid w:val="00730804"/>
    <w:rsid w:val="00732B8A"/>
    <w:rsid w:val="00764A6A"/>
    <w:rsid w:val="007654B9"/>
    <w:rsid w:val="007751D9"/>
    <w:rsid w:val="007877CF"/>
    <w:rsid w:val="00792147"/>
    <w:rsid w:val="007B2CF1"/>
    <w:rsid w:val="007B3252"/>
    <w:rsid w:val="007D3347"/>
    <w:rsid w:val="00805CEE"/>
    <w:rsid w:val="00817DE8"/>
    <w:rsid w:val="008214B3"/>
    <w:rsid w:val="00840EB8"/>
    <w:rsid w:val="008502E8"/>
    <w:rsid w:val="00862C1D"/>
    <w:rsid w:val="008853F5"/>
    <w:rsid w:val="0089046E"/>
    <w:rsid w:val="00890590"/>
    <w:rsid w:val="008A3245"/>
    <w:rsid w:val="008B3E36"/>
    <w:rsid w:val="008B4C23"/>
    <w:rsid w:val="008B65C2"/>
    <w:rsid w:val="008C3B45"/>
    <w:rsid w:val="008C7F5D"/>
    <w:rsid w:val="008D2953"/>
    <w:rsid w:val="008D2E3B"/>
    <w:rsid w:val="008D4C38"/>
    <w:rsid w:val="008F04C7"/>
    <w:rsid w:val="00916705"/>
    <w:rsid w:val="009205E1"/>
    <w:rsid w:val="0093133C"/>
    <w:rsid w:val="009427C1"/>
    <w:rsid w:val="00944384"/>
    <w:rsid w:val="00945747"/>
    <w:rsid w:val="00951739"/>
    <w:rsid w:val="00972531"/>
    <w:rsid w:val="00992853"/>
    <w:rsid w:val="00996417"/>
    <w:rsid w:val="009A4E80"/>
    <w:rsid w:val="009B02E5"/>
    <w:rsid w:val="009B29C2"/>
    <w:rsid w:val="009D5828"/>
    <w:rsid w:val="00A159B4"/>
    <w:rsid w:val="00A25CD7"/>
    <w:rsid w:val="00A25E79"/>
    <w:rsid w:val="00A41114"/>
    <w:rsid w:val="00A464E7"/>
    <w:rsid w:val="00A52882"/>
    <w:rsid w:val="00A542CC"/>
    <w:rsid w:val="00A66503"/>
    <w:rsid w:val="00A667FE"/>
    <w:rsid w:val="00A7072D"/>
    <w:rsid w:val="00A76430"/>
    <w:rsid w:val="00A8056A"/>
    <w:rsid w:val="00A866B5"/>
    <w:rsid w:val="00AA514C"/>
    <w:rsid w:val="00AA554A"/>
    <w:rsid w:val="00AA567F"/>
    <w:rsid w:val="00AA5DC5"/>
    <w:rsid w:val="00AB151C"/>
    <w:rsid w:val="00AB7901"/>
    <w:rsid w:val="00AC6C01"/>
    <w:rsid w:val="00AD1D5F"/>
    <w:rsid w:val="00AD331A"/>
    <w:rsid w:val="00B1744C"/>
    <w:rsid w:val="00B21542"/>
    <w:rsid w:val="00B27605"/>
    <w:rsid w:val="00B463CF"/>
    <w:rsid w:val="00B91126"/>
    <w:rsid w:val="00BA56F7"/>
    <w:rsid w:val="00BC21BE"/>
    <w:rsid w:val="00BC4FDD"/>
    <w:rsid w:val="00BD1A84"/>
    <w:rsid w:val="00BD2752"/>
    <w:rsid w:val="00BE241C"/>
    <w:rsid w:val="00C15E52"/>
    <w:rsid w:val="00C32B1E"/>
    <w:rsid w:val="00C44D49"/>
    <w:rsid w:val="00C4625A"/>
    <w:rsid w:val="00C55469"/>
    <w:rsid w:val="00C63FD5"/>
    <w:rsid w:val="00C66B69"/>
    <w:rsid w:val="00C700D8"/>
    <w:rsid w:val="00C70F7D"/>
    <w:rsid w:val="00C9437A"/>
    <w:rsid w:val="00CA5944"/>
    <w:rsid w:val="00CA750C"/>
    <w:rsid w:val="00CB1789"/>
    <w:rsid w:val="00CE0548"/>
    <w:rsid w:val="00CE3EDF"/>
    <w:rsid w:val="00CF35FA"/>
    <w:rsid w:val="00CF678F"/>
    <w:rsid w:val="00CF7645"/>
    <w:rsid w:val="00D2187A"/>
    <w:rsid w:val="00D62D51"/>
    <w:rsid w:val="00D84F92"/>
    <w:rsid w:val="00D96BAC"/>
    <w:rsid w:val="00DD5649"/>
    <w:rsid w:val="00DE65F7"/>
    <w:rsid w:val="00E06AF2"/>
    <w:rsid w:val="00E2383D"/>
    <w:rsid w:val="00E3541E"/>
    <w:rsid w:val="00E40111"/>
    <w:rsid w:val="00E568CC"/>
    <w:rsid w:val="00E73C76"/>
    <w:rsid w:val="00E74801"/>
    <w:rsid w:val="00E81B5D"/>
    <w:rsid w:val="00E84293"/>
    <w:rsid w:val="00E86F29"/>
    <w:rsid w:val="00E92BD6"/>
    <w:rsid w:val="00EA6E76"/>
    <w:rsid w:val="00EA77F8"/>
    <w:rsid w:val="00EC43ED"/>
    <w:rsid w:val="00ED11CA"/>
    <w:rsid w:val="00ED65ED"/>
    <w:rsid w:val="00EE2C78"/>
    <w:rsid w:val="00EF4E14"/>
    <w:rsid w:val="00EF7292"/>
    <w:rsid w:val="00F03207"/>
    <w:rsid w:val="00F23D3A"/>
    <w:rsid w:val="00F43D47"/>
    <w:rsid w:val="00F44CCF"/>
    <w:rsid w:val="00F45135"/>
    <w:rsid w:val="00F63050"/>
    <w:rsid w:val="00F6381A"/>
    <w:rsid w:val="00F709D1"/>
    <w:rsid w:val="00F928BB"/>
    <w:rsid w:val="00FC4E34"/>
    <w:rsid w:val="00FC639E"/>
    <w:rsid w:val="00FD28AF"/>
    <w:rsid w:val="00FD30BD"/>
    <w:rsid w:val="00FE0153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5CD3-2BE9-46F7-80CE-E017F9E6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8698</Words>
  <Characters>52193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cp:lastPrinted>2021-04-22T12:25:00Z</cp:lastPrinted>
  <dcterms:created xsi:type="dcterms:W3CDTF">2021-11-10T15:06:00Z</dcterms:created>
  <dcterms:modified xsi:type="dcterms:W3CDTF">2021-11-10T22:02:00Z</dcterms:modified>
</cp:coreProperties>
</file>