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15" w:rsidRPr="00CA0D15" w:rsidRDefault="00CA0D15" w:rsidP="00CA0D15">
      <w:pPr>
        <w:jc w:val="right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Załącznik nr 2 do Zaproszenia </w:t>
      </w:r>
    </w:p>
    <w:p w:rsidR="008849A5" w:rsidRDefault="008849A5" w:rsidP="00CA0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D15" w:rsidRPr="00CA0D15" w:rsidRDefault="00CA0D15" w:rsidP="00CA0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CA0D15" w:rsidRPr="00CA0D15" w:rsidRDefault="00CA0D15">
      <w:pPr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Akademia Wychowania Fizycznego im. Jerzego Kukuczki w Katowicach ul. Mikołowska 72a, 40-065 Katowice NIP 634-019-53-42 REGON 000327882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1. Zamawiane dokumenty, specyfikacja badań: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>1.1. Realizacja monitoringu i wyceny efektywności sponsoringu sportowego w mediach. Badanie będzie obejmowało ekspozycje marek oraz wskazanych sportowców i trenerów związanych z AZS AWF Katowice w telewizji, prasie, Internecie oraz mediach społecznościowych: profilach/kontach Zamawiającego w serwisach Facebook.com, Instagram.com, Twitter.com, a także na kanale YouTube.com (badanie efektywności</w:t>
      </w:r>
      <w:r w:rsidR="006F606B">
        <w:rPr>
          <w:rFonts w:ascii="Times New Roman" w:hAnsi="Times New Roman" w:cs="Times New Roman"/>
          <w:sz w:val="24"/>
          <w:szCs w:val="24"/>
        </w:rPr>
        <w:t xml:space="preserve"> ekspozycji marek w mediach) w </w:t>
      </w:r>
      <w:bookmarkStart w:id="0" w:name="_GoBack"/>
      <w:bookmarkEnd w:id="0"/>
      <w:r w:rsidRPr="00CA0D15">
        <w:rPr>
          <w:rFonts w:ascii="Times New Roman" w:hAnsi="Times New Roman" w:cs="Times New Roman"/>
          <w:sz w:val="24"/>
          <w:szCs w:val="24"/>
        </w:rPr>
        <w:t xml:space="preserve">okresie 01.01.2016 - 21.09.2020.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>Wyniki zostaną przedstawione w formie raportu badawczego. AWF Katowice i AZS AWF Katowice będą mogły wykorzystać treść raportu na potrzeby prezentacji sponsorskich oraz do promocji.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Zamawiający udostępni materiały mediowe, których gromadzenie zlecił innemu podmiotowi.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Raport zostanie przygotowany do 15 dni roboczych od podpisania umowy.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>Raporty będą stworzone w języku polskim w formie dokumentu zawierającego wykresy, informacje o realizacji badania oraz zestawienie wskaźników mediowych dla marek według poszczególnych transmisji (nazwa emitenta/publikatora, zweryfikowana wartość sekundowa, wartość mediowa ekspozycji marki – tj. uwzględniająca rzeczywistą wielkość ekspozycji oraz jej cennikową wartość, GRP, liczba kontaktów widzów z marką, liczba ekspozycji).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 Zawartość raportów: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>a) wartość marek w podziale na media (telewizja, prasa, Internet, social media),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 b) wartość marek według rodzaju prezentacji (tekst, tytuł, zdjęcie), 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 xml:space="preserve">c) wartość marek według lokalizacji (zawodnik, banda, pozostałe), </w:t>
      </w:r>
    </w:p>
    <w:p w:rsidR="006519AC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  <w:r w:rsidRPr="00CA0D15">
        <w:rPr>
          <w:rFonts w:ascii="Times New Roman" w:hAnsi="Times New Roman" w:cs="Times New Roman"/>
          <w:sz w:val="24"/>
          <w:szCs w:val="24"/>
        </w:rPr>
        <w:t>d) szczegółowe zestawienie każdej emisji marek w mediach wraz ze wszystkimi szczegółami na temat wystąpienia.</w:t>
      </w:r>
    </w:p>
    <w:p w:rsidR="00CA0D15" w:rsidRPr="00CA0D15" w:rsidRDefault="00CA0D15" w:rsidP="00CA0D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D15" w:rsidRPr="00CA0D15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D15"/>
    <w:rsid w:val="00003FA1"/>
    <w:rsid w:val="00143499"/>
    <w:rsid w:val="002F3499"/>
    <w:rsid w:val="003051EE"/>
    <w:rsid w:val="00307C22"/>
    <w:rsid w:val="004016AC"/>
    <w:rsid w:val="005D735A"/>
    <w:rsid w:val="006519AC"/>
    <w:rsid w:val="00690951"/>
    <w:rsid w:val="00694F69"/>
    <w:rsid w:val="006F606B"/>
    <w:rsid w:val="007F4BA3"/>
    <w:rsid w:val="008849A5"/>
    <w:rsid w:val="00CA0D15"/>
    <w:rsid w:val="00E6289E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462C8-E109-4DD7-9A82-597A741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5</cp:revision>
  <dcterms:created xsi:type="dcterms:W3CDTF">2020-09-30T20:35:00Z</dcterms:created>
  <dcterms:modified xsi:type="dcterms:W3CDTF">2020-10-01T08:09:00Z</dcterms:modified>
</cp:coreProperties>
</file>