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2B541856" w14:textId="20BD1FC0" w:rsidR="00B33F63" w:rsidRPr="00B33F63" w:rsidRDefault="00142EF9"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W ramach części</w:t>
      </w:r>
      <w:r w:rsidR="0035771E" w:rsidRPr="00B33F63">
        <w:rPr>
          <w:rFonts w:ascii="Times New Roman" w:hAnsi="Times New Roman" w:cs="Times New Roman"/>
          <w:b/>
          <w:sz w:val="23"/>
          <w:szCs w:val="23"/>
        </w:rPr>
        <w:t xml:space="preserve"> 1. </w:t>
      </w:r>
      <w:r w:rsidR="00B33F63" w:rsidRPr="00B33F63">
        <w:rPr>
          <w:rFonts w:ascii="Times New Roman" w:hAnsi="Times New Roman" w:cs="Times New Roman"/>
          <w:sz w:val="23"/>
          <w:szCs w:val="23"/>
        </w:rPr>
        <w:t>NaCl chlorku sodu – 4 kg;</w:t>
      </w:r>
    </w:p>
    <w:p w14:paraId="54365636" w14:textId="29B8352E"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W ramach części 2.</w:t>
      </w:r>
      <w:r>
        <w:rPr>
          <w:rFonts w:ascii="Times New Roman" w:hAnsi="Times New Roman" w:cs="Times New Roman"/>
          <w:b/>
          <w:sz w:val="23"/>
          <w:szCs w:val="23"/>
        </w:rPr>
        <w:t xml:space="preserve"> </w:t>
      </w:r>
      <w:r w:rsidRPr="00B33F63">
        <w:rPr>
          <w:rFonts w:ascii="Times New Roman" w:hAnsi="Times New Roman" w:cs="Times New Roman"/>
          <w:sz w:val="23"/>
          <w:szCs w:val="23"/>
        </w:rPr>
        <w:t>NaOH wodorotlenku sodu – 4 kg;</w:t>
      </w:r>
    </w:p>
    <w:p w14:paraId="43962D95" w14:textId="40074C18"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3. </w:t>
      </w:r>
      <w:r w:rsidRPr="00B33F63">
        <w:rPr>
          <w:rFonts w:ascii="Times New Roman" w:hAnsi="Times New Roman" w:cs="Times New Roman"/>
          <w:sz w:val="23"/>
          <w:szCs w:val="23"/>
        </w:rPr>
        <w:t>gotowego zestawu odczynników do oznaczenia Dysmutazy Ponadtlenkowej (SOD, Superoxide dismutase) – 7 zestawów;</w:t>
      </w:r>
    </w:p>
    <w:p w14:paraId="735F9068" w14:textId="29B38ADC"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4. </w:t>
      </w:r>
      <w:r w:rsidRPr="00B33F63">
        <w:rPr>
          <w:rFonts w:ascii="Times New Roman" w:hAnsi="Times New Roman" w:cs="Times New Roman"/>
          <w:sz w:val="23"/>
          <w:szCs w:val="23"/>
        </w:rPr>
        <w:t>gotowego zestawu odczynników do oznaczenia Peroksydazy Glutationowej (GPX, Glutatione Peroxidase) – 2 zestawy</w:t>
      </w:r>
      <w:r>
        <w:rPr>
          <w:rFonts w:ascii="Times New Roman" w:hAnsi="Times New Roman" w:cs="Times New Roman"/>
          <w:sz w:val="23"/>
          <w:szCs w:val="23"/>
        </w:rPr>
        <w:t>;</w:t>
      </w:r>
    </w:p>
    <w:p w14:paraId="3433D979" w14:textId="0580D61D"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W ramach części 5.</w:t>
      </w:r>
      <w:r w:rsidRPr="00B33F63">
        <w:rPr>
          <w:rFonts w:ascii="Times New Roman" w:hAnsi="Times New Roman" w:cs="Times New Roman"/>
          <w:sz w:val="23"/>
          <w:szCs w:val="23"/>
        </w:rPr>
        <w:t xml:space="preserve"> gotowego zestawu odczynników do oznaczenia kwasu moczowego (UA) – 2 zestawy;</w:t>
      </w:r>
    </w:p>
    <w:p w14:paraId="442ABBD1" w14:textId="7D739FE2"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6. </w:t>
      </w:r>
      <w:r w:rsidRPr="00B33F63">
        <w:rPr>
          <w:rFonts w:ascii="Times New Roman" w:hAnsi="Times New Roman" w:cs="Times New Roman"/>
          <w:sz w:val="23"/>
          <w:szCs w:val="23"/>
        </w:rPr>
        <w:t>gotowego zestawu odczynników do oznaczenia hemoglobiny (Hb, Haemoglobin) – 2 zestawy;</w:t>
      </w:r>
    </w:p>
    <w:p w14:paraId="367417FE" w14:textId="5A2A4E5B"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7. </w:t>
      </w:r>
      <w:r w:rsidRPr="00B33F63">
        <w:rPr>
          <w:rFonts w:ascii="Times New Roman" w:hAnsi="Times New Roman" w:cs="Times New Roman"/>
          <w:sz w:val="23"/>
          <w:szCs w:val="23"/>
        </w:rPr>
        <w:t>gotowego zestawu odczynników do oznaczenia cholesterolu całkowitego – 1 zestaw;</w:t>
      </w:r>
    </w:p>
    <w:p w14:paraId="1EC947AA" w14:textId="4C0EA8A6"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8. </w:t>
      </w:r>
      <w:r w:rsidRPr="00B33F63">
        <w:rPr>
          <w:rFonts w:ascii="Times New Roman" w:hAnsi="Times New Roman" w:cs="Times New Roman"/>
          <w:sz w:val="23"/>
          <w:szCs w:val="23"/>
        </w:rPr>
        <w:t>gotowego zestawu odczynników do oznaczenia cholesterolu HDL – 1 zestaw;</w:t>
      </w:r>
    </w:p>
    <w:p w14:paraId="2ACEF6D0" w14:textId="773F18DC"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W ramach części 9.</w:t>
      </w:r>
      <w:r w:rsidRPr="00B33F63">
        <w:rPr>
          <w:rFonts w:ascii="Times New Roman" w:hAnsi="Times New Roman" w:cs="Times New Roman"/>
          <w:sz w:val="23"/>
          <w:szCs w:val="23"/>
        </w:rPr>
        <w:t xml:space="preserve"> gotowego zestawu odczynników do oznaczenia trójglicerydów - 2 zestawy;</w:t>
      </w:r>
    </w:p>
    <w:p w14:paraId="60DF49ED" w14:textId="55D93677"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W ramach części 10.</w:t>
      </w:r>
      <w:r w:rsidRPr="00B33F63">
        <w:rPr>
          <w:rFonts w:ascii="Times New Roman" w:hAnsi="Times New Roman" w:cs="Times New Roman"/>
          <w:sz w:val="23"/>
          <w:szCs w:val="23"/>
        </w:rPr>
        <w:t xml:space="preserve"> gotowego zestawu do oznaczenia całkowitego statusu antyoksydacyjnego (Total Anioxidant Status – TAS) – 3 zestawy;</w:t>
      </w:r>
    </w:p>
    <w:p w14:paraId="7123E40F" w14:textId="3F531FE8" w:rsidR="00B33F63" w:rsidRPr="00B33F63" w:rsidRDefault="00B33F63" w:rsidP="00B33F63">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11. </w:t>
      </w:r>
      <w:r w:rsidRPr="00B33F63">
        <w:rPr>
          <w:rFonts w:ascii="Times New Roman" w:hAnsi="Times New Roman" w:cs="Times New Roman"/>
          <w:sz w:val="23"/>
          <w:szCs w:val="23"/>
        </w:rPr>
        <w:t>gotowego zestawu do oznaczenia całkowitego statusu/pojemności oksydacyjnej (Total oxidative status/capacity TOS/TOC) – 2 zestawy;</w:t>
      </w:r>
    </w:p>
    <w:p w14:paraId="13B873C1" w14:textId="08B5CA5D" w:rsidR="00B33F63" w:rsidRDefault="00B33F63" w:rsidP="003F7C6D">
      <w:pPr>
        <w:pStyle w:val="Akapitzlist"/>
        <w:numPr>
          <w:ilvl w:val="0"/>
          <w:numId w:val="47"/>
        </w:numPr>
        <w:spacing w:after="0" w:line="276" w:lineRule="auto"/>
        <w:jc w:val="both"/>
        <w:rPr>
          <w:rFonts w:ascii="Times New Roman" w:hAnsi="Times New Roman" w:cs="Times New Roman"/>
          <w:sz w:val="23"/>
          <w:szCs w:val="23"/>
        </w:rPr>
      </w:pPr>
      <w:r w:rsidRPr="00B33F63">
        <w:rPr>
          <w:rFonts w:ascii="Times New Roman" w:hAnsi="Times New Roman" w:cs="Times New Roman"/>
          <w:b/>
          <w:sz w:val="23"/>
          <w:szCs w:val="23"/>
        </w:rPr>
        <w:t xml:space="preserve">W ramach części 12. </w:t>
      </w:r>
      <w:r w:rsidRPr="00B33F63">
        <w:rPr>
          <w:rFonts w:ascii="Times New Roman" w:hAnsi="Times New Roman" w:cs="Times New Roman"/>
          <w:sz w:val="23"/>
          <w:szCs w:val="23"/>
        </w:rPr>
        <w:t>gotowego zestawu odczynników do ilościowego oznaczenia czynnika BDNF - 2 zestawy.</w:t>
      </w:r>
      <w:r w:rsidR="0035771E" w:rsidRPr="00B33F63">
        <w:rPr>
          <w:rFonts w:ascii="Times New Roman" w:hAnsi="Times New Roman" w:cs="Times New Roman"/>
          <w:b/>
          <w:sz w:val="23"/>
          <w:szCs w:val="23"/>
        </w:rPr>
        <w:t xml:space="preserve"> </w:t>
      </w:r>
      <w:r w:rsidR="00747374" w:rsidRPr="00B33F63">
        <w:rPr>
          <w:rFonts w:ascii="Times New Roman" w:hAnsi="Times New Roman" w:cs="Times New Roman"/>
          <w:sz w:val="23"/>
          <w:szCs w:val="23"/>
        </w:rPr>
        <w:t xml:space="preserve">- </w:t>
      </w:r>
      <w:r w:rsidR="00142EF9" w:rsidRPr="00B33F63">
        <w:rPr>
          <w:rFonts w:ascii="Times New Roman" w:hAnsi="Times New Roman" w:cs="Times New Roman"/>
          <w:sz w:val="23"/>
          <w:szCs w:val="23"/>
        </w:rPr>
        <w:t>przenośnego pH-metru terenowo-laboratoryjnego – 1 szt.</w:t>
      </w:r>
    </w:p>
    <w:p w14:paraId="6CB8AFB3" w14:textId="41210363" w:rsidR="003E4BDA" w:rsidRPr="000C58C7" w:rsidRDefault="008758C4" w:rsidP="000C58C7">
      <w:pPr>
        <w:pStyle w:val="Akapitzlist"/>
        <w:spacing w:after="0" w:line="276" w:lineRule="auto"/>
        <w:ind w:left="1080"/>
        <w:jc w:val="both"/>
        <w:rPr>
          <w:rFonts w:ascii="Times New Roman" w:hAnsi="Times New Roman" w:cs="Times New Roman"/>
          <w:sz w:val="23"/>
          <w:szCs w:val="23"/>
        </w:rPr>
      </w:pPr>
      <w:r w:rsidRPr="00B33F63">
        <w:rPr>
          <w:rFonts w:ascii="Times New Roman" w:hAnsi="Times New Roman" w:cs="Times New Roman"/>
          <w:color w:val="FF0000"/>
          <w:sz w:val="23"/>
          <w:szCs w:val="23"/>
        </w:rPr>
        <w:t xml:space="preserve">* w </w:t>
      </w:r>
      <w:r w:rsidR="003E4BDA" w:rsidRPr="00B33F63">
        <w:rPr>
          <w:rFonts w:ascii="Times New Roman" w:hAnsi="Times New Roman" w:cs="Times New Roman"/>
          <w:color w:val="FF0000"/>
          <w:sz w:val="23"/>
          <w:szCs w:val="23"/>
        </w:rPr>
        <w:t>zależności od oferty wykonawcy. Niewłaściwe zapisy zostaną wykreślone</w:t>
      </w:r>
      <w:r w:rsidRPr="00B33F63">
        <w:rPr>
          <w:rFonts w:ascii="Times New Roman" w:hAnsi="Times New Roman" w:cs="Times New Roman"/>
          <w:color w:val="FF0000"/>
          <w:sz w:val="23"/>
          <w:szCs w:val="23"/>
        </w:rPr>
        <w:t xml:space="preserve"> </w:t>
      </w: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7AF868A8"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4DC21454" w14:textId="0060426C"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2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28EE0139"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bookmarkStart w:id="0" w:name="_GoBack"/>
      <w:bookmarkEnd w:id="0"/>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4A2619A6"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w:t>
      </w:r>
      <w:r w:rsidR="007F1258" w:rsidRPr="003E4BDA">
        <w:rPr>
          <w:rFonts w:ascii="Times New Roman" w:hAnsi="Times New Roman" w:cs="Times New Roman"/>
          <w:color w:val="FF0000"/>
          <w:sz w:val="23"/>
          <w:szCs w:val="23"/>
        </w:rPr>
        <w:t>należnego za wykonanie tej części</w:t>
      </w:r>
      <w:r w:rsidR="00D90372">
        <w:rPr>
          <w:rFonts w:ascii="Times New Roman" w:hAnsi="Times New Roman" w:cs="Times New Roman"/>
          <w:color w:val="FF0000"/>
          <w:sz w:val="23"/>
          <w:szCs w:val="23"/>
        </w:rPr>
        <w:t>, której odstąpienie/rozwiązanie dotyczy</w:t>
      </w:r>
    </w:p>
    <w:p w14:paraId="5ED956FF" w14:textId="20A58E91"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B50160">
        <w:rPr>
          <w:rFonts w:ascii="Times New Roman" w:hAnsi="Times New Roman" w:cs="Times New Roman"/>
          <w:sz w:val="23"/>
          <w:szCs w:val="23"/>
        </w:rPr>
        <w:t>zwłoki</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t>
      </w:r>
      <w:r w:rsidRPr="003E4BDA">
        <w:rPr>
          <w:rFonts w:ascii="Times New Roman" w:hAnsi="Times New Roman" w:cs="Times New Roman"/>
          <w:sz w:val="23"/>
          <w:szCs w:val="23"/>
        </w:rPr>
        <w:lastRenderedPageBreak/>
        <w:t xml:space="preserve">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w:t>
      </w:r>
      <w:r w:rsidRPr="003E4BDA">
        <w:rPr>
          <w:rFonts w:ascii="Times New Roman" w:hAnsi="Times New Roman" w:cs="Times New Roman"/>
          <w:sz w:val="23"/>
          <w:szCs w:val="23"/>
        </w:rPr>
        <w:lastRenderedPageBreak/>
        <w:t>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747BF4A3"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0C58C7">
        <w:rPr>
          <w:rFonts w:ascii="Times New Roman" w:hAnsi="Times New Roman" w:cs="Times New Roman"/>
          <w:sz w:val="23"/>
          <w:szCs w:val="23"/>
        </w:rPr>
        <w:t>miesięcy</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3E4BDA">
        <w:rPr>
          <w:rFonts w:ascii="Times New Roman" w:hAnsi="Times New Roman" w:cs="Times New Roman"/>
          <w:sz w:val="23"/>
          <w:szCs w:val="23"/>
        </w:rPr>
        <w:lastRenderedPageBreak/>
        <w:t>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96AB4" w14:textId="77777777" w:rsidR="00300A6B" w:rsidRDefault="00300A6B" w:rsidP="004A363A">
      <w:pPr>
        <w:spacing w:after="0" w:line="240" w:lineRule="auto"/>
      </w:pPr>
      <w:r>
        <w:separator/>
      </w:r>
    </w:p>
  </w:endnote>
  <w:endnote w:type="continuationSeparator" w:id="0">
    <w:p w14:paraId="2DBE29B8" w14:textId="77777777" w:rsidR="00300A6B" w:rsidRDefault="00300A6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AC41E" w14:textId="77777777" w:rsidR="00300A6B" w:rsidRDefault="00300A6B" w:rsidP="004A363A">
      <w:pPr>
        <w:spacing w:after="0" w:line="240" w:lineRule="auto"/>
      </w:pPr>
      <w:r>
        <w:separator/>
      </w:r>
    </w:p>
  </w:footnote>
  <w:footnote w:type="continuationSeparator" w:id="0">
    <w:p w14:paraId="717BA73D" w14:textId="77777777" w:rsidR="00300A6B" w:rsidRDefault="00300A6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107AF3"/>
    <w:rsid w:val="00124F11"/>
    <w:rsid w:val="00135300"/>
    <w:rsid w:val="00142EF9"/>
    <w:rsid w:val="00142FF8"/>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A278F"/>
    <w:rsid w:val="002B00F4"/>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33715"/>
    <w:rsid w:val="00661371"/>
    <w:rsid w:val="00666325"/>
    <w:rsid w:val="006737E5"/>
    <w:rsid w:val="006759BB"/>
    <w:rsid w:val="006956E7"/>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33F63"/>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6B4"/>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8</Pages>
  <Words>3045</Words>
  <Characters>18275</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6</cp:revision>
  <cp:lastPrinted>2023-03-30T11:45:00Z</cp:lastPrinted>
  <dcterms:created xsi:type="dcterms:W3CDTF">2022-12-11T23:34:00Z</dcterms:created>
  <dcterms:modified xsi:type="dcterms:W3CDTF">2023-03-30T12:06:00Z</dcterms:modified>
</cp:coreProperties>
</file>