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>postępowania prowadzonego w trybie Zaproszenia do s</w:t>
      </w:r>
      <w:bookmarkStart w:id="0" w:name="_GoBack"/>
      <w:bookmarkEnd w:id="0"/>
      <w:r w:rsidR="00B81664" w:rsidRPr="007F7D08">
        <w:rPr>
          <w:rFonts w:ascii="Times New Roman" w:hAnsi="Times New Roman"/>
          <w:sz w:val="23"/>
          <w:szCs w:val="23"/>
        </w:rPr>
        <w:t xml:space="preserve">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6F36AC2E" w:rsidR="005A7C18" w:rsidRPr="00B96EAE" w:rsidRDefault="00E83FE3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E83FE3">
        <w:rPr>
          <w:rFonts w:ascii="Times New Roman" w:hAnsi="Times New Roman"/>
          <w:b/>
          <w:sz w:val="23"/>
          <w:szCs w:val="23"/>
        </w:rPr>
        <w:t xml:space="preserve">Dostawa urządzeń multimedialnych i routerów – 4 części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ZSO/07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1278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13</cp:revision>
  <dcterms:created xsi:type="dcterms:W3CDTF">2023-01-17T10:06:00Z</dcterms:created>
  <dcterms:modified xsi:type="dcterms:W3CDTF">2023-03-17T08:39:00Z</dcterms:modified>
</cp:coreProperties>
</file>