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59279B" w14:textId="73D8272E" w:rsidR="00945CBE" w:rsidRDefault="00945CBE" w:rsidP="00945CBE">
      <w:pPr>
        <w:jc w:val="right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Załącznik nr 2 do SWZ</w:t>
      </w:r>
    </w:p>
    <w:p w14:paraId="6151668F" w14:textId="77777777" w:rsidR="00945CBE" w:rsidRDefault="00945CBE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00000001" w14:textId="77777777" w:rsidR="007245A7" w:rsidRPr="00945CBE" w:rsidRDefault="00C0500C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945CBE">
        <w:rPr>
          <w:rFonts w:ascii="Times New Roman" w:hAnsi="Times New Roman" w:cs="Times New Roman"/>
          <w:b/>
          <w:sz w:val="23"/>
          <w:szCs w:val="23"/>
        </w:rPr>
        <w:t>OPIS PRZEDMIOTU ZAMÓWIENIA</w:t>
      </w:r>
    </w:p>
    <w:p w14:paraId="00000002" w14:textId="77777777" w:rsidR="007245A7" w:rsidRPr="00945CBE" w:rsidRDefault="00C0500C">
      <w:pPr>
        <w:spacing w:after="0"/>
        <w:rPr>
          <w:rFonts w:ascii="Times New Roman" w:hAnsi="Times New Roman" w:cs="Times New Roman"/>
          <w:b/>
          <w:sz w:val="23"/>
          <w:szCs w:val="23"/>
        </w:rPr>
      </w:pPr>
      <w:r w:rsidRPr="00945CBE">
        <w:rPr>
          <w:rFonts w:ascii="Times New Roman" w:hAnsi="Times New Roman" w:cs="Times New Roman"/>
          <w:sz w:val="23"/>
          <w:szCs w:val="23"/>
        </w:rPr>
        <w:t xml:space="preserve">Przedmiotem zamówienia jest: </w:t>
      </w:r>
      <w:r w:rsidRPr="00945CBE">
        <w:rPr>
          <w:rFonts w:ascii="Times New Roman" w:hAnsi="Times New Roman" w:cs="Times New Roman"/>
          <w:b/>
          <w:sz w:val="23"/>
          <w:szCs w:val="23"/>
        </w:rPr>
        <w:t xml:space="preserve">dostawa odczynników laboratoryjnych </w:t>
      </w:r>
    </w:p>
    <w:p w14:paraId="00000003" w14:textId="77777777" w:rsidR="007245A7" w:rsidRPr="00945CBE" w:rsidRDefault="007245A7">
      <w:pPr>
        <w:spacing w:after="0"/>
        <w:rPr>
          <w:rFonts w:ascii="Times New Roman" w:hAnsi="Times New Roman" w:cs="Times New Roman"/>
          <w:b/>
          <w:sz w:val="23"/>
          <w:szCs w:val="23"/>
        </w:rPr>
      </w:pPr>
    </w:p>
    <w:p w14:paraId="00000004" w14:textId="4E40F317" w:rsidR="007245A7" w:rsidRPr="00945CBE" w:rsidRDefault="00C0500C">
      <w:pPr>
        <w:spacing w:after="0"/>
        <w:rPr>
          <w:rFonts w:ascii="Times New Roman" w:hAnsi="Times New Roman" w:cs="Times New Roman"/>
          <w:sz w:val="23"/>
          <w:szCs w:val="23"/>
        </w:rPr>
      </w:pPr>
      <w:r w:rsidRPr="00945CBE">
        <w:rPr>
          <w:rFonts w:ascii="Times New Roman" w:hAnsi="Times New Roman" w:cs="Times New Roman"/>
          <w:sz w:val="23"/>
          <w:szCs w:val="23"/>
        </w:rPr>
        <w:t xml:space="preserve">Zamówienie jest podzielone na </w:t>
      </w:r>
      <w:r w:rsidR="00944E79">
        <w:rPr>
          <w:rFonts w:ascii="Times New Roman" w:hAnsi="Times New Roman" w:cs="Times New Roman"/>
          <w:sz w:val="23"/>
          <w:szCs w:val="23"/>
        </w:rPr>
        <w:t>5</w:t>
      </w:r>
      <w:r w:rsidRPr="00945CBE">
        <w:rPr>
          <w:rFonts w:ascii="Times New Roman" w:hAnsi="Times New Roman" w:cs="Times New Roman"/>
          <w:sz w:val="23"/>
          <w:szCs w:val="23"/>
        </w:rPr>
        <w:t xml:space="preserve"> części</w:t>
      </w:r>
    </w:p>
    <w:p w14:paraId="4664032D" w14:textId="77777777" w:rsidR="00945CBE" w:rsidRDefault="00945CBE">
      <w:pPr>
        <w:spacing w:after="0"/>
        <w:rPr>
          <w:rFonts w:ascii="Times New Roman" w:hAnsi="Times New Roman" w:cs="Times New Roman"/>
          <w:b/>
          <w:sz w:val="23"/>
          <w:szCs w:val="23"/>
        </w:rPr>
      </w:pPr>
    </w:p>
    <w:p w14:paraId="6C94EBF4" w14:textId="77777777" w:rsidR="00D24E0F" w:rsidRPr="00D24E0F" w:rsidRDefault="00D24E0F" w:rsidP="00D24E0F">
      <w:pPr>
        <w:spacing w:after="0"/>
        <w:rPr>
          <w:rFonts w:ascii="Times New Roman" w:hAnsi="Times New Roman" w:cs="Times New Roman"/>
          <w:b/>
          <w:sz w:val="23"/>
          <w:szCs w:val="23"/>
        </w:rPr>
      </w:pPr>
      <w:r w:rsidRPr="00D24E0F">
        <w:rPr>
          <w:rFonts w:ascii="Times New Roman" w:hAnsi="Times New Roman" w:cs="Times New Roman"/>
          <w:b/>
          <w:sz w:val="23"/>
          <w:szCs w:val="23"/>
        </w:rPr>
        <w:t>Część 1 Dostawa soli fizjologicznej</w:t>
      </w:r>
    </w:p>
    <w:p w14:paraId="282CE91A" w14:textId="77777777" w:rsidR="00D24E0F" w:rsidRPr="00D24E0F" w:rsidRDefault="00D24E0F" w:rsidP="00D24E0F">
      <w:pPr>
        <w:spacing w:after="0"/>
        <w:rPr>
          <w:rFonts w:ascii="Times New Roman" w:hAnsi="Times New Roman" w:cs="Times New Roman"/>
          <w:sz w:val="23"/>
          <w:szCs w:val="23"/>
        </w:rPr>
      </w:pPr>
      <w:r w:rsidRPr="00D24E0F">
        <w:rPr>
          <w:rFonts w:ascii="Times New Roman" w:hAnsi="Times New Roman" w:cs="Times New Roman"/>
          <w:sz w:val="23"/>
          <w:szCs w:val="23"/>
        </w:rPr>
        <w:t>Dostawa przedmiotu zamówienia o następujących parametrach:</w:t>
      </w:r>
    </w:p>
    <w:p w14:paraId="5DF74EDA" w14:textId="77777777" w:rsidR="00D24E0F" w:rsidRPr="00D24E0F" w:rsidRDefault="00D24E0F" w:rsidP="00D24E0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 w:cs="Times New Roman"/>
          <w:color w:val="000000"/>
          <w:sz w:val="23"/>
          <w:szCs w:val="23"/>
        </w:rPr>
      </w:pPr>
      <w:r w:rsidRPr="00D24E0F">
        <w:rPr>
          <w:rFonts w:ascii="Times New Roman" w:hAnsi="Times New Roman" w:cs="Times New Roman"/>
          <w:color w:val="000000"/>
          <w:sz w:val="23"/>
          <w:szCs w:val="23"/>
        </w:rPr>
        <w:t>Roztwór izotoniczny</w:t>
      </w:r>
    </w:p>
    <w:p w14:paraId="7398FB2D" w14:textId="77777777" w:rsidR="00D24E0F" w:rsidRPr="00D24E0F" w:rsidRDefault="00D24E0F" w:rsidP="00D24E0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 w:cs="Times New Roman"/>
          <w:color w:val="000000"/>
          <w:sz w:val="23"/>
          <w:szCs w:val="23"/>
        </w:rPr>
      </w:pPr>
      <w:r w:rsidRPr="00D24E0F">
        <w:rPr>
          <w:rFonts w:ascii="Times New Roman" w:hAnsi="Times New Roman" w:cs="Times New Roman"/>
          <w:color w:val="000000"/>
          <w:sz w:val="23"/>
          <w:szCs w:val="23"/>
        </w:rPr>
        <w:t>Maksymalne stężenie chlorku sodu w roztworze: 0,9%</w:t>
      </w:r>
    </w:p>
    <w:p w14:paraId="4EE8E276" w14:textId="77777777" w:rsidR="00D24E0F" w:rsidRPr="00D24E0F" w:rsidRDefault="00D24E0F" w:rsidP="00D24E0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 w:cs="Times New Roman"/>
          <w:color w:val="000000"/>
          <w:sz w:val="23"/>
          <w:szCs w:val="23"/>
        </w:rPr>
      </w:pPr>
      <w:r w:rsidRPr="00D24E0F">
        <w:rPr>
          <w:rFonts w:ascii="Times New Roman" w:hAnsi="Times New Roman" w:cs="Times New Roman"/>
          <w:color w:val="000000"/>
          <w:sz w:val="23"/>
          <w:szCs w:val="23"/>
        </w:rPr>
        <w:t>Produkt musi być jałowy</w:t>
      </w:r>
    </w:p>
    <w:p w14:paraId="57449F1C" w14:textId="77777777" w:rsidR="00D24E0F" w:rsidRPr="00D24E0F" w:rsidRDefault="00D24E0F" w:rsidP="00D24E0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 w:cs="Times New Roman"/>
          <w:color w:val="000000"/>
          <w:sz w:val="23"/>
          <w:szCs w:val="23"/>
        </w:rPr>
      </w:pPr>
      <w:r w:rsidRPr="00D24E0F">
        <w:rPr>
          <w:rFonts w:ascii="Times New Roman" w:hAnsi="Times New Roman" w:cs="Times New Roman"/>
          <w:color w:val="000000"/>
          <w:sz w:val="23"/>
          <w:szCs w:val="23"/>
        </w:rPr>
        <w:t>Produkt nie może zawierać żadnych dodatkowych składników oprócz wody i chlorku sodu</w:t>
      </w:r>
    </w:p>
    <w:p w14:paraId="7E98D1A1" w14:textId="77777777" w:rsidR="00D24E0F" w:rsidRDefault="00D24E0F" w:rsidP="00D24E0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 w:cs="Times New Roman"/>
          <w:color w:val="000000"/>
          <w:sz w:val="23"/>
          <w:szCs w:val="23"/>
        </w:rPr>
      </w:pPr>
      <w:r w:rsidRPr="00D24E0F">
        <w:rPr>
          <w:rFonts w:ascii="Times New Roman" w:hAnsi="Times New Roman" w:cs="Times New Roman"/>
          <w:color w:val="000000"/>
          <w:sz w:val="23"/>
          <w:szCs w:val="23"/>
        </w:rPr>
        <w:t xml:space="preserve">Ilość 1000 ampułek po 5 ml  </w:t>
      </w:r>
    </w:p>
    <w:p w14:paraId="6590BD2C" w14:textId="77777777" w:rsidR="00D24E0F" w:rsidRPr="00D24E0F" w:rsidRDefault="00D24E0F" w:rsidP="00D24E0F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hAnsi="Times New Roman" w:cs="Times New Roman"/>
          <w:color w:val="000000"/>
          <w:sz w:val="23"/>
          <w:szCs w:val="23"/>
        </w:rPr>
      </w:pPr>
    </w:p>
    <w:p w14:paraId="47AF133C" w14:textId="77777777" w:rsidR="00D24E0F" w:rsidRPr="00D24E0F" w:rsidRDefault="00D24E0F" w:rsidP="00D24E0F">
      <w:pPr>
        <w:spacing w:after="0"/>
        <w:rPr>
          <w:rFonts w:ascii="Times New Roman" w:hAnsi="Times New Roman" w:cs="Times New Roman"/>
          <w:b/>
          <w:sz w:val="23"/>
          <w:szCs w:val="23"/>
        </w:rPr>
      </w:pPr>
      <w:r w:rsidRPr="00D24E0F">
        <w:rPr>
          <w:rFonts w:ascii="Times New Roman" w:hAnsi="Times New Roman" w:cs="Times New Roman"/>
          <w:b/>
          <w:sz w:val="23"/>
          <w:szCs w:val="23"/>
        </w:rPr>
        <w:t>Część 2 Dostawa zestawu do izolacji mitochondriów z komórek</w:t>
      </w:r>
    </w:p>
    <w:p w14:paraId="2281C77B" w14:textId="77777777" w:rsidR="00D24E0F" w:rsidRPr="00D24E0F" w:rsidRDefault="00D24E0F" w:rsidP="00D24E0F">
      <w:pPr>
        <w:spacing w:after="0"/>
        <w:rPr>
          <w:rFonts w:ascii="Times New Roman" w:hAnsi="Times New Roman" w:cs="Times New Roman"/>
          <w:sz w:val="23"/>
          <w:szCs w:val="23"/>
        </w:rPr>
      </w:pPr>
      <w:r w:rsidRPr="00D24E0F">
        <w:rPr>
          <w:rFonts w:ascii="Times New Roman" w:hAnsi="Times New Roman" w:cs="Times New Roman"/>
          <w:sz w:val="23"/>
          <w:szCs w:val="23"/>
        </w:rPr>
        <w:t>Dostawa przedmiotu zamówienia o następujących parametrach:</w:t>
      </w:r>
    </w:p>
    <w:p w14:paraId="67CE75A0" w14:textId="77777777" w:rsidR="00D24E0F" w:rsidRPr="00D24E0F" w:rsidRDefault="00D24E0F" w:rsidP="00D24E0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 w:cs="Times New Roman"/>
          <w:color w:val="000000"/>
          <w:sz w:val="23"/>
          <w:szCs w:val="23"/>
        </w:rPr>
      </w:pPr>
      <w:r w:rsidRPr="00D24E0F">
        <w:rPr>
          <w:rFonts w:ascii="Times New Roman" w:hAnsi="Times New Roman" w:cs="Times New Roman"/>
          <w:color w:val="000000"/>
          <w:sz w:val="23"/>
          <w:szCs w:val="23"/>
        </w:rPr>
        <w:t>szybka procedura izolacji – do 40 min</w:t>
      </w:r>
    </w:p>
    <w:p w14:paraId="768360F3" w14:textId="77777777" w:rsidR="00D24E0F" w:rsidRPr="00D24E0F" w:rsidRDefault="00D24E0F" w:rsidP="00D24E0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 w:cs="Times New Roman"/>
          <w:color w:val="000000"/>
          <w:sz w:val="23"/>
          <w:szCs w:val="23"/>
        </w:rPr>
      </w:pPr>
      <w:r w:rsidRPr="00D24E0F">
        <w:rPr>
          <w:rFonts w:ascii="Times New Roman" w:hAnsi="Times New Roman" w:cs="Times New Roman"/>
          <w:color w:val="000000"/>
          <w:sz w:val="23"/>
          <w:szCs w:val="23"/>
        </w:rPr>
        <w:t>możliwość izolacji minimum 6 próbek jednocześnie</w:t>
      </w:r>
    </w:p>
    <w:p w14:paraId="292B44B6" w14:textId="77777777" w:rsidR="00D24E0F" w:rsidRPr="00D24E0F" w:rsidRDefault="00D24E0F" w:rsidP="00D24E0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 w:cs="Times New Roman"/>
          <w:color w:val="000000"/>
          <w:sz w:val="23"/>
          <w:szCs w:val="23"/>
        </w:rPr>
      </w:pPr>
      <w:r w:rsidRPr="00D24E0F">
        <w:rPr>
          <w:rFonts w:ascii="Times New Roman" w:hAnsi="Times New Roman" w:cs="Times New Roman"/>
          <w:color w:val="000000"/>
          <w:sz w:val="23"/>
          <w:szCs w:val="23"/>
        </w:rPr>
        <w:t>możliwość lizy wyizolowanych mitochondriów detergentem</w:t>
      </w:r>
    </w:p>
    <w:p w14:paraId="7BF7CC76" w14:textId="77777777" w:rsidR="00D24E0F" w:rsidRPr="00D24E0F" w:rsidRDefault="00D24E0F" w:rsidP="00D24E0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 w:cs="Times New Roman"/>
          <w:color w:val="000000"/>
          <w:sz w:val="23"/>
          <w:szCs w:val="23"/>
        </w:rPr>
      </w:pPr>
      <w:r w:rsidRPr="00D24E0F">
        <w:rPr>
          <w:rFonts w:ascii="Times New Roman" w:hAnsi="Times New Roman" w:cs="Times New Roman"/>
          <w:color w:val="000000"/>
          <w:sz w:val="23"/>
          <w:szCs w:val="23"/>
        </w:rPr>
        <w:t>bazujący na metodzie opartej na odczynnikach</w:t>
      </w:r>
    </w:p>
    <w:p w14:paraId="6C6BBC9B" w14:textId="77777777" w:rsidR="00D24E0F" w:rsidRDefault="00D24E0F" w:rsidP="00D24E0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 w:cs="Times New Roman"/>
          <w:color w:val="000000"/>
          <w:sz w:val="23"/>
          <w:szCs w:val="23"/>
        </w:rPr>
      </w:pPr>
      <w:r w:rsidRPr="00D24E0F">
        <w:rPr>
          <w:rFonts w:ascii="Times New Roman" w:hAnsi="Times New Roman" w:cs="Times New Roman"/>
          <w:color w:val="000000"/>
          <w:sz w:val="23"/>
          <w:szCs w:val="23"/>
        </w:rPr>
        <w:t>ilość: zestaw na 50 izolacji</w:t>
      </w:r>
    </w:p>
    <w:p w14:paraId="7529748A" w14:textId="77777777" w:rsidR="00D24E0F" w:rsidRPr="00D24E0F" w:rsidRDefault="00D24E0F" w:rsidP="00D24E0F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hAnsi="Times New Roman" w:cs="Times New Roman"/>
          <w:color w:val="000000"/>
          <w:sz w:val="23"/>
          <w:szCs w:val="23"/>
        </w:rPr>
      </w:pPr>
    </w:p>
    <w:p w14:paraId="7C2F7C51" w14:textId="77777777" w:rsidR="00D24E0F" w:rsidRPr="00D24E0F" w:rsidRDefault="00D24E0F" w:rsidP="00D24E0F">
      <w:pPr>
        <w:spacing w:after="0"/>
        <w:rPr>
          <w:rFonts w:ascii="Times New Roman" w:hAnsi="Times New Roman" w:cs="Times New Roman"/>
          <w:b/>
          <w:sz w:val="23"/>
          <w:szCs w:val="23"/>
        </w:rPr>
      </w:pPr>
      <w:r w:rsidRPr="00D24E0F">
        <w:rPr>
          <w:rFonts w:ascii="Times New Roman" w:hAnsi="Times New Roman" w:cs="Times New Roman"/>
          <w:b/>
          <w:sz w:val="23"/>
          <w:szCs w:val="23"/>
        </w:rPr>
        <w:t>Część 3 Dostawa zestawu do izolacji mitochondriów z tkanki</w:t>
      </w:r>
    </w:p>
    <w:p w14:paraId="44C132ED" w14:textId="77777777" w:rsidR="00D24E0F" w:rsidRPr="00D24E0F" w:rsidRDefault="00D24E0F" w:rsidP="00D24E0F">
      <w:pPr>
        <w:spacing w:after="0"/>
        <w:rPr>
          <w:rFonts w:ascii="Times New Roman" w:hAnsi="Times New Roman" w:cs="Times New Roman"/>
          <w:sz w:val="23"/>
          <w:szCs w:val="23"/>
        </w:rPr>
      </w:pPr>
      <w:r w:rsidRPr="00D24E0F">
        <w:rPr>
          <w:rFonts w:ascii="Times New Roman" w:hAnsi="Times New Roman" w:cs="Times New Roman"/>
          <w:sz w:val="23"/>
          <w:szCs w:val="23"/>
        </w:rPr>
        <w:t>Dostawa przedmiotu zamówienia o następujących parametrach:</w:t>
      </w:r>
    </w:p>
    <w:p w14:paraId="42CB7F8B" w14:textId="77777777" w:rsidR="00D24E0F" w:rsidRPr="00D24E0F" w:rsidRDefault="00D24E0F" w:rsidP="00D24E0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 w:cs="Times New Roman"/>
          <w:color w:val="000000"/>
          <w:sz w:val="23"/>
          <w:szCs w:val="23"/>
        </w:rPr>
      </w:pPr>
      <w:r w:rsidRPr="00D24E0F">
        <w:rPr>
          <w:rFonts w:ascii="Times New Roman" w:hAnsi="Times New Roman" w:cs="Times New Roman"/>
          <w:color w:val="000000"/>
          <w:sz w:val="23"/>
          <w:szCs w:val="23"/>
        </w:rPr>
        <w:t>możliwość izolacji zarówno z tkanki miękkiej jak i twardej</w:t>
      </w:r>
    </w:p>
    <w:p w14:paraId="13E8E259" w14:textId="77777777" w:rsidR="00D24E0F" w:rsidRPr="00D24E0F" w:rsidRDefault="00D24E0F" w:rsidP="00D24E0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 w:cs="Times New Roman"/>
          <w:color w:val="000000"/>
          <w:sz w:val="23"/>
          <w:szCs w:val="23"/>
        </w:rPr>
      </w:pPr>
      <w:r w:rsidRPr="00D24E0F">
        <w:rPr>
          <w:rFonts w:ascii="Times New Roman" w:hAnsi="Times New Roman" w:cs="Times New Roman"/>
          <w:color w:val="000000"/>
          <w:sz w:val="23"/>
          <w:szCs w:val="23"/>
        </w:rPr>
        <w:t>szybka procedura izolacji – do 1 godziny</w:t>
      </w:r>
    </w:p>
    <w:p w14:paraId="6840248E" w14:textId="77777777" w:rsidR="00D24E0F" w:rsidRPr="00D24E0F" w:rsidRDefault="00D24E0F" w:rsidP="00D24E0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 w:cs="Times New Roman"/>
          <w:color w:val="000000"/>
          <w:sz w:val="23"/>
          <w:szCs w:val="23"/>
        </w:rPr>
      </w:pPr>
      <w:r w:rsidRPr="00D24E0F">
        <w:rPr>
          <w:rFonts w:ascii="Times New Roman" w:hAnsi="Times New Roman" w:cs="Times New Roman"/>
          <w:color w:val="000000"/>
          <w:sz w:val="23"/>
          <w:szCs w:val="23"/>
        </w:rPr>
        <w:t>możliwość izolacji kilku próbek jednocześnie</w:t>
      </w:r>
    </w:p>
    <w:p w14:paraId="7FC74C93" w14:textId="77777777" w:rsidR="00D24E0F" w:rsidRPr="00D24E0F" w:rsidRDefault="00D24E0F" w:rsidP="00D24E0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 w:cs="Times New Roman"/>
          <w:color w:val="000000"/>
          <w:sz w:val="23"/>
          <w:szCs w:val="23"/>
        </w:rPr>
      </w:pPr>
      <w:r w:rsidRPr="00D24E0F">
        <w:rPr>
          <w:rFonts w:ascii="Times New Roman" w:hAnsi="Times New Roman" w:cs="Times New Roman"/>
          <w:color w:val="000000"/>
          <w:sz w:val="23"/>
          <w:szCs w:val="23"/>
        </w:rPr>
        <w:t>możliwość homogenizacji metodą chemiczną lub mechaniczną</w:t>
      </w:r>
    </w:p>
    <w:p w14:paraId="1BD1A04F" w14:textId="77777777" w:rsidR="00D24E0F" w:rsidRDefault="00D24E0F" w:rsidP="00D24E0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 w:cs="Times New Roman"/>
          <w:color w:val="000000"/>
          <w:sz w:val="23"/>
          <w:szCs w:val="23"/>
        </w:rPr>
      </w:pPr>
      <w:r w:rsidRPr="00D24E0F">
        <w:rPr>
          <w:rFonts w:ascii="Times New Roman" w:hAnsi="Times New Roman" w:cs="Times New Roman"/>
          <w:color w:val="000000"/>
          <w:sz w:val="23"/>
          <w:szCs w:val="23"/>
        </w:rPr>
        <w:t>ilość: zestaw na 50 izolacji</w:t>
      </w:r>
    </w:p>
    <w:p w14:paraId="5268D0D6" w14:textId="77777777" w:rsidR="00D24E0F" w:rsidRPr="00D24E0F" w:rsidRDefault="00D24E0F" w:rsidP="00D24E0F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hAnsi="Times New Roman" w:cs="Times New Roman"/>
          <w:color w:val="000000"/>
          <w:sz w:val="23"/>
          <w:szCs w:val="23"/>
        </w:rPr>
      </w:pPr>
    </w:p>
    <w:p w14:paraId="1A208194" w14:textId="627D0778" w:rsidR="00D24E0F" w:rsidRDefault="00D24E0F" w:rsidP="00D24E0F">
      <w:pPr>
        <w:spacing w:after="0"/>
        <w:jc w:val="both"/>
        <w:rPr>
          <w:rFonts w:ascii="Times New Roman" w:hAnsi="Times New Roman" w:cs="Times New Roman"/>
          <w:b/>
          <w:sz w:val="23"/>
          <w:szCs w:val="23"/>
          <w:lang w:eastAsia="en-US"/>
        </w:rPr>
      </w:pPr>
      <w:r w:rsidRPr="00085180">
        <w:rPr>
          <w:rFonts w:ascii="Times New Roman" w:hAnsi="Times New Roman" w:cs="Times New Roman"/>
          <w:b/>
          <w:sz w:val="23"/>
          <w:szCs w:val="23"/>
          <w:lang w:eastAsia="en-US"/>
        </w:rPr>
        <w:t xml:space="preserve">Część 4 Dostawa zestawu odczynników (master mix) do przeprowadzenia reakcji PCR w czasie rzeczywistym z zastosowaniem barwnika SYBR Green  </w:t>
      </w:r>
      <w:bookmarkStart w:id="0" w:name="_GoBack"/>
      <w:bookmarkEnd w:id="0"/>
    </w:p>
    <w:p w14:paraId="16C51D42" w14:textId="77777777" w:rsidR="00D24E0F" w:rsidRPr="00D24E0F" w:rsidRDefault="00D24E0F" w:rsidP="00D24E0F">
      <w:pPr>
        <w:spacing w:after="0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  <w:r w:rsidRPr="00D24E0F">
        <w:rPr>
          <w:rFonts w:ascii="Times New Roman" w:eastAsia="Times New Roman" w:hAnsi="Times New Roman" w:cs="Times New Roman"/>
          <w:sz w:val="23"/>
          <w:szCs w:val="23"/>
          <w:highlight w:val="white"/>
          <w:lang w:val="pl"/>
        </w:rPr>
        <w:t>Dostawa przedmiotu zamówienia o następujących właściwościach:</w:t>
      </w:r>
    </w:p>
    <w:p w14:paraId="23002699" w14:textId="77777777" w:rsidR="00D24E0F" w:rsidRPr="00D24E0F" w:rsidRDefault="00D24E0F" w:rsidP="00D24E0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n-US"/>
        </w:rPr>
      </w:pPr>
      <w:r w:rsidRPr="00D24E0F">
        <w:rPr>
          <w:rFonts w:ascii="Times New Roman" w:eastAsia="Times New Roman" w:hAnsi="Times New Roman" w:cs="Times New Roman"/>
          <w:sz w:val="23"/>
          <w:szCs w:val="23"/>
          <w:lang w:eastAsia="en-US"/>
        </w:rPr>
        <w:t>zestaw umożliwiający przeprowadzenie reakcji o objętości mieszaniny reakcyjnej równej 20 µl lub 25 µl,</w:t>
      </w:r>
    </w:p>
    <w:p w14:paraId="57D58935" w14:textId="77777777" w:rsidR="00D24E0F" w:rsidRPr="00D24E0F" w:rsidRDefault="00D24E0F" w:rsidP="00D24E0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n-US"/>
        </w:rPr>
      </w:pPr>
      <w:r w:rsidRPr="00D24E0F">
        <w:rPr>
          <w:rFonts w:ascii="Times New Roman" w:eastAsia="Times New Roman" w:hAnsi="Times New Roman" w:cs="Times New Roman"/>
          <w:sz w:val="23"/>
          <w:szCs w:val="23"/>
          <w:lang w:eastAsia="en-US"/>
        </w:rPr>
        <w:t>przechowywanie zestawu do 3 miesięcy w 4</w:t>
      </w:r>
      <w:r w:rsidRPr="00D24E0F">
        <w:rPr>
          <w:rFonts w:ascii="Times New Roman" w:eastAsia="Times New Roman" w:hAnsi="Times New Roman" w:cs="Times New Roman"/>
          <w:sz w:val="23"/>
          <w:szCs w:val="23"/>
          <w:highlight w:val="white"/>
          <w:lang w:eastAsia="en-US"/>
        </w:rPr>
        <w:t>℃</w:t>
      </w:r>
      <w:r w:rsidRPr="00D24E0F">
        <w:rPr>
          <w:rFonts w:ascii="Times New Roman" w:eastAsia="Times New Roman" w:hAnsi="Times New Roman" w:cs="Times New Roman"/>
          <w:sz w:val="23"/>
          <w:szCs w:val="23"/>
          <w:lang w:eastAsia="en-US"/>
        </w:rPr>
        <w:t xml:space="preserve"> po rozmrożeniu, gwarancja działania zestawu do 12 miesięcy w przypadku przechowywania w -20</w:t>
      </w:r>
      <w:r w:rsidRPr="00D24E0F">
        <w:rPr>
          <w:rFonts w:ascii="Times New Roman" w:eastAsia="Times New Roman" w:hAnsi="Times New Roman" w:cs="Times New Roman"/>
          <w:sz w:val="23"/>
          <w:szCs w:val="23"/>
          <w:highlight w:val="white"/>
          <w:lang w:eastAsia="en-US"/>
        </w:rPr>
        <w:t>℃</w:t>
      </w:r>
      <w:r w:rsidRPr="00D24E0F">
        <w:rPr>
          <w:rFonts w:ascii="Times New Roman" w:eastAsia="Times New Roman" w:hAnsi="Times New Roman" w:cs="Times New Roman"/>
          <w:sz w:val="23"/>
          <w:szCs w:val="23"/>
          <w:lang w:eastAsia="en-US"/>
        </w:rPr>
        <w:t>,</w:t>
      </w:r>
    </w:p>
    <w:p w14:paraId="35FD96FD" w14:textId="77777777" w:rsidR="00D24E0F" w:rsidRPr="00D24E0F" w:rsidRDefault="00D24E0F" w:rsidP="00D24E0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n-US"/>
        </w:rPr>
      </w:pPr>
      <w:r w:rsidRPr="00D24E0F">
        <w:rPr>
          <w:rFonts w:ascii="Times New Roman" w:eastAsia="Times New Roman" w:hAnsi="Times New Roman" w:cs="Times New Roman"/>
          <w:sz w:val="23"/>
          <w:szCs w:val="23"/>
          <w:highlight w:val="white"/>
          <w:lang w:eastAsia="en-US"/>
        </w:rPr>
        <w:t>zawierający barwnik SYBR Green</w:t>
      </w:r>
      <w:r w:rsidRPr="00D24E0F">
        <w:rPr>
          <w:rFonts w:ascii="Times New Roman" w:eastAsia="Times New Roman" w:hAnsi="Times New Roman" w:cs="Times New Roman"/>
          <w:sz w:val="23"/>
          <w:szCs w:val="23"/>
          <w:lang w:eastAsia="en-US"/>
        </w:rPr>
        <w:t>,</w:t>
      </w:r>
    </w:p>
    <w:p w14:paraId="5C962E7E" w14:textId="77777777" w:rsidR="00D24E0F" w:rsidRPr="00D24E0F" w:rsidRDefault="00D24E0F" w:rsidP="00D24E0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n-US"/>
        </w:rPr>
      </w:pPr>
      <w:r w:rsidRPr="00D24E0F">
        <w:rPr>
          <w:rFonts w:ascii="Times New Roman" w:eastAsia="Times New Roman" w:hAnsi="Times New Roman" w:cs="Times New Roman"/>
          <w:sz w:val="23"/>
          <w:szCs w:val="23"/>
          <w:highlight w:val="white"/>
          <w:lang w:eastAsia="en-US"/>
        </w:rPr>
        <w:t>zawierający białko związane kowalencyjnie z polimerazą DNA, stabilizujące kompleks polimeraza-matryca</w:t>
      </w:r>
      <w:r w:rsidRPr="00D24E0F">
        <w:rPr>
          <w:rFonts w:ascii="Times New Roman" w:eastAsia="Times New Roman" w:hAnsi="Times New Roman" w:cs="Times New Roman"/>
          <w:sz w:val="23"/>
          <w:szCs w:val="23"/>
          <w:lang w:eastAsia="en-US"/>
        </w:rPr>
        <w:t>,</w:t>
      </w:r>
    </w:p>
    <w:p w14:paraId="088275AA" w14:textId="77777777" w:rsidR="00D24E0F" w:rsidRPr="00D24E0F" w:rsidRDefault="00D24E0F" w:rsidP="00D24E0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n-US"/>
        </w:rPr>
      </w:pPr>
      <w:r w:rsidRPr="00D24E0F">
        <w:rPr>
          <w:rFonts w:ascii="Times New Roman" w:eastAsia="Times New Roman" w:hAnsi="Times New Roman" w:cs="Times New Roman"/>
          <w:sz w:val="23"/>
          <w:szCs w:val="23"/>
          <w:highlight w:val="white"/>
          <w:lang w:eastAsia="en-US"/>
        </w:rPr>
        <w:t>zawierający białko fuzyjne o wielkości 7Da izolowane z Sulfolobus solfataricus wiążące się do dsDNA</w:t>
      </w:r>
      <w:r w:rsidRPr="00D24E0F">
        <w:rPr>
          <w:rFonts w:ascii="Times New Roman" w:eastAsia="Times New Roman" w:hAnsi="Times New Roman" w:cs="Times New Roman"/>
          <w:sz w:val="23"/>
          <w:szCs w:val="23"/>
          <w:lang w:eastAsia="en-US"/>
        </w:rPr>
        <w:t>,</w:t>
      </w:r>
    </w:p>
    <w:p w14:paraId="0FE89EBA" w14:textId="77777777" w:rsidR="00D24E0F" w:rsidRPr="00D24E0F" w:rsidRDefault="00D24E0F" w:rsidP="00D24E0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n-US"/>
        </w:rPr>
      </w:pPr>
      <w:r w:rsidRPr="00D24E0F">
        <w:rPr>
          <w:rFonts w:ascii="Times New Roman" w:eastAsia="Times New Roman" w:hAnsi="Times New Roman" w:cs="Times New Roman"/>
          <w:sz w:val="23"/>
          <w:szCs w:val="23"/>
          <w:highlight w:val="white"/>
          <w:lang w:eastAsia="en-US"/>
        </w:rPr>
        <w:t>odpowiedni do przeprowadzenia reakcji PCR w czasie rzeczywistym w trybie szybkiego czytania</w:t>
      </w:r>
      <w:r w:rsidRPr="00D24E0F">
        <w:rPr>
          <w:rFonts w:ascii="Times New Roman" w:eastAsia="Times New Roman" w:hAnsi="Times New Roman" w:cs="Times New Roman"/>
          <w:sz w:val="23"/>
          <w:szCs w:val="23"/>
          <w:lang w:eastAsia="en-US"/>
        </w:rPr>
        <w:t>,</w:t>
      </w:r>
    </w:p>
    <w:p w14:paraId="6A1E003D" w14:textId="77777777" w:rsidR="00D24E0F" w:rsidRPr="00D24E0F" w:rsidRDefault="00D24E0F" w:rsidP="00D24E0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n-US"/>
        </w:rPr>
      </w:pPr>
      <w:r w:rsidRPr="00D24E0F">
        <w:rPr>
          <w:rFonts w:ascii="Times New Roman" w:eastAsia="Times New Roman" w:hAnsi="Times New Roman" w:cs="Times New Roman"/>
          <w:sz w:val="23"/>
          <w:szCs w:val="23"/>
          <w:lang w:eastAsia="en-US"/>
        </w:rPr>
        <w:t>szeroki zakres zastosowań real-time PCR,</w:t>
      </w:r>
    </w:p>
    <w:p w14:paraId="1BFC069E" w14:textId="77777777" w:rsidR="00D24E0F" w:rsidRPr="00D24E0F" w:rsidRDefault="00D24E0F" w:rsidP="00D24E0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n-US"/>
        </w:rPr>
      </w:pPr>
      <w:r w:rsidRPr="00D24E0F">
        <w:rPr>
          <w:rFonts w:ascii="Times New Roman" w:eastAsia="Times New Roman" w:hAnsi="Times New Roman" w:cs="Times New Roman"/>
          <w:sz w:val="23"/>
          <w:szCs w:val="23"/>
          <w:lang w:eastAsia="en-US"/>
        </w:rPr>
        <w:lastRenderedPageBreak/>
        <w:t>kompatybilny z Light Cyclerem Roche 96,</w:t>
      </w:r>
    </w:p>
    <w:p w14:paraId="2E96A8CD" w14:textId="77777777" w:rsidR="00D24E0F" w:rsidRPr="00D24E0F" w:rsidRDefault="00D24E0F" w:rsidP="00D24E0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n-US"/>
        </w:rPr>
      </w:pPr>
      <w:r w:rsidRPr="00D24E0F">
        <w:rPr>
          <w:rFonts w:ascii="Times New Roman" w:eastAsia="Times New Roman" w:hAnsi="Times New Roman" w:cs="Times New Roman"/>
          <w:sz w:val="23"/>
          <w:szCs w:val="23"/>
          <w:lang w:eastAsia="en-US"/>
        </w:rPr>
        <w:t>przeznaczony do oznaczeń DNA oraz cDNA,</w:t>
      </w:r>
    </w:p>
    <w:p w14:paraId="64D68C4C" w14:textId="77777777" w:rsidR="00D24E0F" w:rsidRPr="00D24E0F" w:rsidRDefault="00D24E0F" w:rsidP="00D24E0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n-US"/>
        </w:rPr>
      </w:pPr>
      <w:r w:rsidRPr="00D24E0F">
        <w:rPr>
          <w:rFonts w:ascii="Times New Roman" w:eastAsia="Times New Roman" w:hAnsi="Times New Roman" w:cs="Times New Roman"/>
          <w:sz w:val="23"/>
          <w:szCs w:val="23"/>
          <w:lang w:eastAsia="en-US"/>
        </w:rPr>
        <w:t>termin ważności: minimum 12-miesięcy,</w:t>
      </w:r>
    </w:p>
    <w:p w14:paraId="15D138EC" w14:textId="77777777" w:rsidR="00D24E0F" w:rsidRPr="00D24E0F" w:rsidRDefault="00D24E0F" w:rsidP="00D24E0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n-US"/>
        </w:rPr>
      </w:pPr>
      <w:r w:rsidRPr="00D24E0F">
        <w:rPr>
          <w:rFonts w:ascii="Times New Roman" w:eastAsia="Times New Roman" w:hAnsi="Times New Roman" w:cs="Times New Roman"/>
          <w:sz w:val="23"/>
          <w:szCs w:val="23"/>
          <w:lang w:eastAsia="en-US"/>
        </w:rPr>
        <w:t>ilość: 1 zestaw , fiolki 0 – 2 ml, liczba reakcji (7 500 x 20 µl)</w:t>
      </w:r>
    </w:p>
    <w:p w14:paraId="189AA0F1" w14:textId="77777777" w:rsidR="00944E79" w:rsidRDefault="00944E79" w:rsidP="00944E7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n-US"/>
        </w:rPr>
      </w:pPr>
    </w:p>
    <w:p w14:paraId="7F1CF79E" w14:textId="77777777" w:rsidR="00944E79" w:rsidRDefault="00944E79" w:rsidP="00944E7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n-US"/>
        </w:rPr>
      </w:pPr>
    </w:p>
    <w:p w14:paraId="0FD92D7B" w14:textId="180A6979" w:rsidR="00944E79" w:rsidRPr="00944E79" w:rsidRDefault="00944E79" w:rsidP="00944E79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en-US"/>
        </w:rPr>
      </w:pPr>
      <w:r w:rsidRPr="00944E79">
        <w:rPr>
          <w:rFonts w:ascii="Times New Roman" w:hAnsi="Times New Roman" w:cs="Times New Roman"/>
          <w:b/>
          <w:sz w:val="23"/>
          <w:szCs w:val="23"/>
        </w:rPr>
        <w:t xml:space="preserve">Część 5 </w:t>
      </w:r>
      <w:r>
        <w:rPr>
          <w:rFonts w:ascii="Times New Roman" w:hAnsi="Times New Roman" w:cs="Times New Roman"/>
          <w:b/>
          <w:sz w:val="23"/>
          <w:szCs w:val="23"/>
        </w:rPr>
        <w:t>Dostawa gotowego</w:t>
      </w:r>
      <w:r w:rsidRPr="00944E79">
        <w:rPr>
          <w:rFonts w:ascii="Times New Roman" w:hAnsi="Times New Roman" w:cs="Times New Roman"/>
          <w:b/>
          <w:sz w:val="23"/>
          <w:szCs w:val="23"/>
        </w:rPr>
        <w:t xml:space="preserve"> zestaw</w:t>
      </w:r>
      <w:r>
        <w:rPr>
          <w:rFonts w:ascii="Times New Roman" w:hAnsi="Times New Roman" w:cs="Times New Roman"/>
          <w:b/>
          <w:sz w:val="23"/>
          <w:szCs w:val="23"/>
        </w:rPr>
        <w:t>u</w:t>
      </w:r>
      <w:r w:rsidRPr="00944E79">
        <w:rPr>
          <w:rFonts w:ascii="Times New Roman" w:hAnsi="Times New Roman" w:cs="Times New Roman"/>
          <w:b/>
          <w:sz w:val="23"/>
          <w:szCs w:val="23"/>
        </w:rPr>
        <w:t xml:space="preserve"> odczynników pozwalających na oznaczenie wolnego testosteronu met</w:t>
      </w:r>
      <w:r>
        <w:rPr>
          <w:rFonts w:ascii="Times New Roman" w:hAnsi="Times New Roman" w:cs="Times New Roman"/>
          <w:b/>
          <w:sz w:val="23"/>
          <w:szCs w:val="23"/>
        </w:rPr>
        <w:t>odą immunoenzymatyczną (ELISA)</w:t>
      </w:r>
    </w:p>
    <w:p w14:paraId="19B27E16" w14:textId="77777777" w:rsidR="00944E79" w:rsidRPr="00944E79" w:rsidRDefault="00944E79" w:rsidP="00944E79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u w:val="single"/>
        </w:rPr>
      </w:pPr>
      <w:r w:rsidRPr="00944E79">
        <w:rPr>
          <w:rFonts w:ascii="Times New Roman" w:hAnsi="Times New Roman" w:cs="Times New Roman"/>
          <w:sz w:val="23"/>
          <w:szCs w:val="23"/>
          <w:u w:val="single"/>
        </w:rPr>
        <w:t xml:space="preserve">Opis przedmiotu zamówienia </w:t>
      </w:r>
    </w:p>
    <w:p w14:paraId="6F9BC085" w14:textId="77777777" w:rsidR="00944E79" w:rsidRPr="00944E79" w:rsidRDefault="00944E79" w:rsidP="00944E79">
      <w:pPr>
        <w:pStyle w:val="Akapitzlist"/>
        <w:numPr>
          <w:ilvl w:val="0"/>
          <w:numId w:val="6"/>
        </w:numPr>
        <w:spacing w:after="0" w:line="276" w:lineRule="auto"/>
        <w:rPr>
          <w:rFonts w:ascii="Times New Roman" w:hAnsi="Times New Roman" w:cs="Times New Roman"/>
          <w:sz w:val="23"/>
          <w:szCs w:val="23"/>
        </w:rPr>
      </w:pPr>
      <w:r w:rsidRPr="00944E79">
        <w:rPr>
          <w:rFonts w:ascii="Times New Roman" w:hAnsi="Times New Roman" w:cs="Times New Roman"/>
          <w:sz w:val="23"/>
          <w:szCs w:val="23"/>
        </w:rPr>
        <w:t>Kompetycyjny ELISA dla ilościowego oznaczenia zawartości wolnego testosteronu w ludzkim materiale biologicznym (surowica lub osocze)</w:t>
      </w:r>
    </w:p>
    <w:p w14:paraId="4535A6CD" w14:textId="77777777" w:rsidR="00944E79" w:rsidRPr="00944E79" w:rsidRDefault="00944E79" w:rsidP="00944E79">
      <w:pPr>
        <w:pStyle w:val="Akapitzlist"/>
        <w:numPr>
          <w:ilvl w:val="0"/>
          <w:numId w:val="6"/>
        </w:numPr>
        <w:spacing w:after="0" w:line="276" w:lineRule="auto"/>
        <w:rPr>
          <w:rFonts w:ascii="Times New Roman" w:hAnsi="Times New Roman" w:cs="Times New Roman"/>
          <w:b/>
          <w:bCs/>
          <w:sz w:val="23"/>
          <w:szCs w:val="23"/>
        </w:rPr>
      </w:pPr>
      <w:r w:rsidRPr="00944E79">
        <w:rPr>
          <w:rFonts w:ascii="Times New Roman" w:hAnsi="Times New Roman" w:cs="Times New Roman"/>
          <w:sz w:val="23"/>
          <w:szCs w:val="23"/>
        </w:rPr>
        <w:t xml:space="preserve"> możliwość wykonania 96 oznaczeń</w:t>
      </w:r>
    </w:p>
    <w:p w14:paraId="364CE34F" w14:textId="77777777" w:rsidR="00944E79" w:rsidRPr="00944E79" w:rsidRDefault="00944E79" w:rsidP="00944E79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944E79">
        <w:rPr>
          <w:rFonts w:ascii="Times New Roman" w:hAnsi="Times New Roman" w:cs="Times New Roman"/>
          <w:sz w:val="23"/>
          <w:szCs w:val="23"/>
        </w:rPr>
        <w:t>czułość metody:</w:t>
      </w:r>
    </w:p>
    <w:p w14:paraId="3EB92990" w14:textId="77777777" w:rsidR="00944E79" w:rsidRPr="00944E79" w:rsidRDefault="00944E79" w:rsidP="00944E79">
      <w:pPr>
        <w:pStyle w:val="Akapitzlist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944E79">
        <w:rPr>
          <w:rFonts w:ascii="Times New Roman" w:hAnsi="Times New Roman" w:cs="Times New Roman"/>
          <w:sz w:val="23"/>
          <w:szCs w:val="23"/>
        </w:rPr>
        <w:t>- Granica ślepej próby (LoB) 0.10 pg/mL</w:t>
      </w:r>
    </w:p>
    <w:p w14:paraId="607C4750" w14:textId="77777777" w:rsidR="00944E79" w:rsidRPr="00944E79" w:rsidRDefault="00944E79" w:rsidP="00944E79">
      <w:pPr>
        <w:pStyle w:val="Akapitzlist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944E79">
        <w:rPr>
          <w:rFonts w:ascii="Times New Roman" w:hAnsi="Times New Roman" w:cs="Times New Roman"/>
          <w:sz w:val="23"/>
          <w:szCs w:val="23"/>
        </w:rPr>
        <w:t>- Granica wykrywalności (LoD) 0.20 pg/mL</w:t>
      </w:r>
    </w:p>
    <w:p w14:paraId="1AC8A547" w14:textId="77777777" w:rsidR="00944E79" w:rsidRPr="00944E79" w:rsidRDefault="00944E79" w:rsidP="00944E79">
      <w:pPr>
        <w:pStyle w:val="Akapitzlist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944E79">
        <w:rPr>
          <w:rFonts w:ascii="Times New Roman" w:hAnsi="Times New Roman" w:cs="Times New Roman"/>
          <w:sz w:val="23"/>
          <w:szCs w:val="23"/>
        </w:rPr>
        <w:t>- Granica oznaczalności (LoQ) 0.34 pg/mL</w:t>
      </w:r>
    </w:p>
    <w:p w14:paraId="1E7946C6" w14:textId="77777777" w:rsidR="00944E79" w:rsidRPr="00944E79" w:rsidRDefault="00944E79" w:rsidP="00944E79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944E79">
        <w:rPr>
          <w:rFonts w:ascii="Times New Roman" w:hAnsi="Times New Roman" w:cs="Times New Roman"/>
          <w:sz w:val="23"/>
          <w:szCs w:val="23"/>
        </w:rPr>
        <w:t>Zakres pomiarowy testu wynosi 0,34 – 70,0 pg/mL (1,18 – 242,9 pmol/L)</w:t>
      </w:r>
    </w:p>
    <w:p w14:paraId="2D9CD354" w14:textId="77777777" w:rsidR="00944E79" w:rsidRPr="00944E79" w:rsidRDefault="00944E79" w:rsidP="00944E79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944E79">
        <w:rPr>
          <w:rFonts w:ascii="Times New Roman" w:hAnsi="Times New Roman" w:cs="Times New Roman"/>
          <w:sz w:val="23"/>
          <w:szCs w:val="23"/>
        </w:rPr>
        <w:t>Oczekiwane wartości określone przez producenta:</w:t>
      </w:r>
    </w:p>
    <w:p w14:paraId="7463F63C" w14:textId="77777777" w:rsidR="00944E79" w:rsidRPr="00944E79" w:rsidRDefault="00944E79" w:rsidP="00944E79">
      <w:pPr>
        <w:pStyle w:val="Akapitzlist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944E79">
        <w:rPr>
          <w:rFonts w:ascii="Times New Roman" w:hAnsi="Times New Roman" w:cs="Times New Roman"/>
          <w:sz w:val="23"/>
          <w:szCs w:val="23"/>
        </w:rPr>
        <w:t>- dla mężczyzn: grupa wiekowa pomiędzy 21-49 lat, a także grupa wiekowa &gt;50 lat</w:t>
      </w:r>
    </w:p>
    <w:p w14:paraId="39EA48E5" w14:textId="77777777" w:rsidR="00944E79" w:rsidRPr="00944E79" w:rsidRDefault="00944E79" w:rsidP="00944E79">
      <w:pPr>
        <w:pStyle w:val="Akapitzlist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944E79">
        <w:rPr>
          <w:rFonts w:ascii="Times New Roman" w:hAnsi="Times New Roman" w:cs="Times New Roman"/>
          <w:sz w:val="23"/>
          <w:szCs w:val="23"/>
        </w:rPr>
        <w:t>- dla kobiet: grupa przed menopauzą, a także grupa po menopauzie</w:t>
      </w:r>
    </w:p>
    <w:p w14:paraId="6BFB3EA6" w14:textId="77777777" w:rsidR="00944E79" w:rsidRPr="00944E79" w:rsidRDefault="00944E79" w:rsidP="00944E79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944E79">
        <w:rPr>
          <w:rFonts w:ascii="Times New Roman" w:hAnsi="Times New Roman" w:cs="Times New Roman"/>
          <w:sz w:val="23"/>
          <w:szCs w:val="23"/>
        </w:rPr>
        <w:t xml:space="preserve">Objętość próbki potrzebna do analizy: 20 µl </w:t>
      </w:r>
    </w:p>
    <w:p w14:paraId="209F4EC2" w14:textId="77777777" w:rsidR="00944E79" w:rsidRPr="00944E79" w:rsidRDefault="00944E79" w:rsidP="00944E79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944E79">
        <w:rPr>
          <w:rFonts w:ascii="Times New Roman" w:hAnsi="Times New Roman" w:cs="Times New Roman"/>
          <w:sz w:val="23"/>
          <w:szCs w:val="23"/>
        </w:rPr>
        <w:t>czas trwania procedury: 1 godzina 15 minut</w:t>
      </w:r>
    </w:p>
    <w:p w14:paraId="1A9D240C" w14:textId="77777777" w:rsidR="00944E79" w:rsidRPr="00944E79" w:rsidRDefault="00944E79" w:rsidP="00944E79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944E79">
        <w:rPr>
          <w:rFonts w:ascii="Times New Roman" w:hAnsi="Times New Roman" w:cs="Times New Roman"/>
          <w:sz w:val="23"/>
          <w:szCs w:val="23"/>
        </w:rPr>
        <w:t>fala odczytu: 450 nm względem filtra korygującego 620-630 nm</w:t>
      </w:r>
    </w:p>
    <w:p w14:paraId="197CA359" w14:textId="77777777" w:rsidR="00944E79" w:rsidRPr="00944E79" w:rsidRDefault="00944E79" w:rsidP="00944E79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944E79">
        <w:rPr>
          <w:rFonts w:ascii="Times New Roman" w:hAnsi="Times New Roman" w:cs="Times New Roman"/>
          <w:sz w:val="23"/>
          <w:szCs w:val="23"/>
        </w:rPr>
        <w:t>temperatura inkubacji 37ºC po dodaniu konjugatu enzymu (HRP) oraz RTºC dla inkubacji po dodaniu TMB</w:t>
      </w:r>
    </w:p>
    <w:p w14:paraId="5D934FA4" w14:textId="77777777" w:rsidR="00944E79" w:rsidRPr="00944E79" w:rsidRDefault="00944E79" w:rsidP="00944E79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944E79">
        <w:rPr>
          <w:rFonts w:ascii="Times New Roman" w:hAnsi="Times New Roman" w:cs="Times New Roman"/>
          <w:sz w:val="23"/>
          <w:szCs w:val="23"/>
        </w:rPr>
        <w:t>warunki przechowywania – standardowo 2-8ºC w ciemności</w:t>
      </w:r>
    </w:p>
    <w:p w14:paraId="77633D43" w14:textId="77777777" w:rsidR="00944E79" w:rsidRPr="00944E79" w:rsidRDefault="00944E79" w:rsidP="00944E79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944E79">
        <w:rPr>
          <w:rFonts w:ascii="Times New Roman" w:hAnsi="Times New Roman" w:cs="Times New Roman"/>
          <w:sz w:val="23"/>
          <w:szCs w:val="23"/>
        </w:rPr>
        <w:t xml:space="preserve">Kompletny zestaw powinien zawierać wszystkie odczynniki i elementy potrzebne do wykonania oznaczeń tj.: </w:t>
      </w:r>
    </w:p>
    <w:p w14:paraId="353228C1" w14:textId="77777777" w:rsidR="00944E79" w:rsidRPr="00944E79" w:rsidRDefault="00944E79" w:rsidP="00944E79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3"/>
          <w:szCs w:val="23"/>
          <w:lang w:val="en-GB"/>
        </w:rPr>
      </w:pPr>
      <w:r w:rsidRPr="00944E79">
        <w:rPr>
          <w:rFonts w:ascii="Times New Roman" w:hAnsi="Times New Roman" w:cs="Times New Roman"/>
          <w:sz w:val="23"/>
          <w:szCs w:val="23"/>
          <w:lang w:val="en-GB"/>
        </w:rPr>
        <w:t xml:space="preserve">Mikropłytkę 96 dołkową (w pełni łamliwą) pokrytą przeciwciałem antytestoronowym </w:t>
      </w:r>
    </w:p>
    <w:p w14:paraId="60523FDD" w14:textId="77777777" w:rsidR="00944E79" w:rsidRPr="00944E79" w:rsidRDefault="00944E79" w:rsidP="00944E79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3"/>
          <w:szCs w:val="23"/>
          <w:lang w:val="en-GB"/>
        </w:rPr>
      </w:pPr>
      <w:r w:rsidRPr="00944E79">
        <w:rPr>
          <w:rFonts w:ascii="Times New Roman" w:hAnsi="Times New Roman" w:cs="Times New Roman"/>
          <w:sz w:val="23"/>
          <w:szCs w:val="23"/>
          <w:lang w:val="en-GB"/>
        </w:rPr>
        <w:t>10x skoncentrowany bufor myjący – 0,2M bufor fosforowy o pH 7,4. Po rozpuszczeniu trwałość buforu myjacego do 30 dni w temperaturze 2-8°C</w:t>
      </w:r>
    </w:p>
    <w:p w14:paraId="4E68F3A0" w14:textId="77777777" w:rsidR="00944E79" w:rsidRPr="00944E79" w:rsidRDefault="00944E79" w:rsidP="00944E79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3"/>
          <w:szCs w:val="23"/>
          <w:lang w:val="en-GB"/>
        </w:rPr>
      </w:pPr>
      <w:r w:rsidRPr="00944E79">
        <w:rPr>
          <w:rFonts w:ascii="Times New Roman" w:hAnsi="Times New Roman" w:cs="Times New Roman"/>
          <w:sz w:val="23"/>
          <w:szCs w:val="23"/>
          <w:lang w:val="en-GB"/>
        </w:rPr>
        <w:t>Wzorzec dla wykonania krzywej kalibracyjnej w punktach 0; 0,2; 1,0; 4,0; 20,0; 100,0 pg/ml – dla każdego punktu krzywej roztwór wzorca gotowy do użycia</w:t>
      </w:r>
    </w:p>
    <w:p w14:paraId="2B572202" w14:textId="77777777" w:rsidR="00944E79" w:rsidRPr="00944E79" w:rsidRDefault="00944E79" w:rsidP="00944E79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3"/>
          <w:szCs w:val="23"/>
          <w:lang w:val="en-GB"/>
        </w:rPr>
      </w:pPr>
      <w:r w:rsidRPr="00944E79">
        <w:rPr>
          <w:rFonts w:ascii="Times New Roman" w:hAnsi="Times New Roman" w:cs="Times New Roman"/>
          <w:sz w:val="23"/>
          <w:szCs w:val="23"/>
          <w:lang w:val="en-GB"/>
        </w:rPr>
        <w:t>Dwie próby kontrolne o znanym stężeniu wolnego testosteronu, potwierdzonym certyfikatem– gotowe do użycia</w:t>
      </w:r>
    </w:p>
    <w:p w14:paraId="48C07B3F" w14:textId="77777777" w:rsidR="00944E79" w:rsidRPr="00944E79" w:rsidRDefault="00944E79" w:rsidP="00944E79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3"/>
          <w:szCs w:val="23"/>
          <w:lang w:val="en-GB"/>
        </w:rPr>
      </w:pPr>
      <w:r w:rsidRPr="00944E79">
        <w:rPr>
          <w:rFonts w:ascii="Times New Roman" w:hAnsi="Times New Roman" w:cs="Times New Roman"/>
          <w:sz w:val="23"/>
          <w:szCs w:val="23"/>
          <w:lang w:val="en-GB"/>
        </w:rPr>
        <w:t>Konjugat enzymu zawierajacy peroksydazę chrzanową (HRP)</w:t>
      </w:r>
    </w:p>
    <w:p w14:paraId="1B44F588" w14:textId="77777777" w:rsidR="00944E79" w:rsidRPr="00944E79" w:rsidRDefault="00944E79" w:rsidP="00944E79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3"/>
          <w:szCs w:val="23"/>
          <w:lang w:val="en-GB"/>
        </w:rPr>
      </w:pPr>
      <w:r w:rsidRPr="00944E79">
        <w:rPr>
          <w:rFonts w:ascii="Times New Roman" w:hAnsi="Times New Roman" w:cs="Times New Roman"/>
          <w:sz w:val="23"/>
          <w:szCs w:val="23"/>
          <w:lang w:val="en-GB"/>
        </w:rPr>
        <w:t>TMB roztwór zawierajacy H</w:t>
      </w:r>
      <w:r w:rsidRPr="00944E79">
        <w:rPr>
          <w:rFonts w:ascii="Times New Roman" w:hAnsi="Times New Roman" w:cs="Times New Roman"/>
          <w:sz w:val="23"/>
          <w:szCs w:val="23"/>
          <w:vertAlign w:val="subscript"/>
          <w:lang w:val="en-GB"/>
        </w:rPr>
        <w:t>2</w:t>
      </w:r>
      <w:r w:rsidRPr="00944E79">
        <w:rPr>
          <w:rFonts w:ascii="Times New Roman" w:hAnsi="Times New Roman" w:cs="Times New Roman"/>
          <w:sz w:val="23"/>
          <w:szCs w:val="23"/>
          <w:lang w:val="en-GB"/>
        </w:rPr>
        <w:t>O</w:t>
      </w:r>
      <w:r w:rsidRPr="00944E79">
        <w:rPr>
          <w:rFonts w:ascii="Times New Roman" w:hAnsi="Times New Roman" w:cs="Times New Roman"/>
          <w:sz w:val="23"/>
          <w:szCs w:val="23"/>
          <w:vertAlign w:val="subscript"/>
          <w:lang w:val="en-GB"/>
        </w:rPr>
        <w:t>2</w:t>
      </w:r>
      <w:r w:rsidRPr="00944E79">
        <w:rPr>
          <w:rFonts w:ascii="Times New Roman" w:hAnsi="Times New Roman" w:cs="Times New Roman"/>
          <w:sz w:val="23"/>
          <w:szCs w:val="23"/>
          <w:lang w:val="en-GB"/>
        </w:rPr>
        <w:t xml:space="preserve"> w stężeniu 0,26g/L</w:t>
      </w:r>
    </w:p>
    <w:p w14:paraId="3F8C2D7C" w14:textId="77777777" w:rsidR="00944E79" w:rsidRPr="00944E79" w:rsidRDefault="00944E79" w:rsidP="00944E79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3"/>
          <w:szCs w:val="23"/>
          <w:lang w:val="en-GB"/>
        </w:rPr>
      </w:pPr>
      <w:r w:rsidRPr="00944E79">
        <w:rPr>
          <w:rFonts w:ascii="Times New Roman" w:hAnsi="Times New Roman" w:cs="Times New Roman"/>
          <w:sz w:val="23"/>
          <w:szCs w:val="23"/>
          <w:lang w:val="en-GB"/>
        </w:rPr>
        <w:t>bufor zatrzymujący zawierający 0,15M kwas siarkowy</w:t>
      </w:r>
    </w:p>
    <w:p w14:paraId="7FB9C808" w14:textId="77777777" w:rsidR="00944E79" w:rsidRPr="00944E79" w:rsidRDefault="00944E79" w:rsidP="00944E79">
      <w:pPr>
        <w:pStyle w:val="Akapitzlist"/>
        <w:numPr>
          <w:ilvl w:val="0"/>
          <w:numId w:val="6"/>
        </w:numPr>
        <w:spacing w:after="200" w:line="276" w:lineRule="auto"/>
        <w:rPr>
          <w:rFonts w:ascii="Times New Roman" w:hAnsi="Times New Roman" w:cs="Times New Roman"/>
          <w:sz w:val="23"/>
          <w:szCs w:val="23"/>
        </w:rPr>
      </w:pPr>
      <w:r w:rsidRPr="00944E79">
        <w:rPr>
          <w:rFonts w:ascii="Times New Roman" w:hAnsi="Times New Roman" w:cs="Times New Roman"/>
          <w:sz w:val="23"/>
          <w:szCs w:val="23"/>
        </w:rPr>
        <w:t>Oferowany test musi posiadać deklarację zgodności CE IVD</w:t>
      </w:r>
    </w:p>
    <w:p w14:paraId="153BE0E2" w14:textId="5286CA44" w:rsidR="00944E79" w:rsidRPr="00944E79" w:rsidRDefault="00944E79" w:rsidP="00944E79">
      <w:pPr>
        <w:pStyle w:val="Akapitzlist"/>
        <w:numPr>
          <w:ilvl w:val="0"/>
          <w:numId w:val="6"/>
        </w:numPr>
        <w:spacing w:after="200" w:line="276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Bibliografia zawierająca</w:t>
      </w:r>
      <w:r w:rsidRPr="00944E79">
        <w:rPr>
          <w:rFonts w:ascii="Times New Roman" w:hAnsi="Times New Roman" w:cs="Times New Roman"/>
          <w:sz w:val="23"/>
          <w:szCs w:val="23"/>
        </w:rPr>
        <w:t xml:space="preserve"> co najmniej 6 pozycji</w:t>
      </w:r>
    </w:p>
    <w:p w14:paraId="352EE8E3" w14:textId="77777777" w:rsidR="00944E79" w:rsidRPr="00944E79" w:rsidRDefault="00944E79" w:rsidP="00944E79">
      <w:pPr>
        <w:pStyle w:val="Akapitzlist"/>
        <w:rPr>
          <w:rFonts w:ascii="Times New Roman" w:hAnsi="Times New Roman" w:cs="Times New Roman"/>
          <w:sz w:val="23"/>
          <w:szCs w:val="23"/>
          <w:u w:val="single"/>
        </w:rPr>
      </w:pPr>
    </w:p>
    <w:p w14:paraId="63A91B70" w14:textId="77777777" w:rsidR="00944E79" w:rsidRPr="00944E79" w:rsidRDefault="00944E79" w:rsidP="00944E79">
      <w:pPr>
        <w:pStyle w:val="Akapitzlist"/>
        <w:rPr>
          <w:rFonts w:ascii="Times New Roman" w:hAnsi="Times New Roman" w:cs="Times New Roman"/>
          <w:sz w:val="23"/>
          <w:szCs w:val="23"/>
          <w:u w:val="single"/>
        </w:rPr>
      </w:pPr>
      <w:r w:rsidRPr="00944E79">
        <w:rPr>
          <w:rFonts w:ascii="Times New Roman" w:hAnsi="Times New Roman" w:cs="Times New Roman"/>
          <w:sz w:val="23"/>
          <w:szCs w:val="23"/>
          <w:u w:val="single"/>
        </w:rPr>
        <w:t>Ilość</w:t>
      </w:r>
    </w:p>
    <w:p w14:paraId="698E82C2" w14:textId="77777777" w:rsidR="00944E79" w:rsidRDefault="00944E79" w:rsidP="00944E79">
      <w:pPr>
        <w:pStyle w:val="Akapitzlist"/>
        <w:rPr>
          <w:rFonts w:ascii="Times New Roman" w:hAnsi="Times New Roman" w:cs="Times New Roman"/>
          <w:sz w:val="23"/>
          <w:szCs w:val="23"/>
        </w:rPr>
      </w:pPr>
      <w:r w:rsidRPr="00944E79">
        <w:rPr>
          <w:rFonts w:ascii="Times New Roman" w:hAnsi="Times New Roman" w:cs="Times New Roman"/>
          <w:sz w:val="23"/>
          <w:szCs w:val="23"/>
        </w:rPr>
        <w:t>Możliwość wykonania oznaczeń 96 prób</w:t>
      </w:r>
    </w:p>
    <w:p w14:paraId="1F0C5785" w14:textId="77777777" w:rsidR="00452963" w:rsidRDefault="00452963" w:rsidP="00944E79">
      <w:pPr>
        <w:pStyle w:val="Akapitzlist"/>
        <w:rPr>
          <w:rFonts w:ascii="Times New Roman" w:hAnsi="Times New Roman" w:cs="Times New Roman"/>
          <w:sz w:val="23"/>
          <w:szCs w:val="23"/>
        </w:rPr>
      </w:pPr>
    </w:p>
    <w:p w14:paraId="5708B07E" w14:textId="45D84823" w:rsidR="00452963" w:rsidRPr="00944E79" w:rsidRDefault="00452963" w:rsidP="00944E79">
      <w:pPr>
        <w:pStyle w:val="Akapitzlist"/>
        <w:rPr>
          <w:rFonts w:ascii="Times New Roman" w:hAnsi="Times New Roman" w:cs="Times New Roman"/>
          <w:sz w:val="23"/>
          <w:szCs w:val="23"/>
        </w:rPr>
      </w:pPr>
    </w:p>
    <w:p w14:paraId="0000001D" w14:textId="6AFF3285" w:rsidR="007245A7" w:rsidRDefault="007245A7">
      <w:pPr>
        <w:spacing w:after="0"/>
        <w:rPr>
          <w:sz w:val="24"/>
          <w:szCs w:val="24"/>
        </w:rPr>
      </w:pPr>
    </w:p>
    <w:p w14:paraId="00000021" w14:textId="72D98D3D" w:rsidR="007245A7" w:rsidRDefault="007245A7" w:rsidP="00452963">
      <w:pPr>
        <w:spacing w:after="0"/>
        <w:ind w:left="5664" w:firstLine="707"/>
        <w:rPr>
          <w:sz w:val="18"/>
          <w:szCs w:val="18"/>
        </w:rPr>
      </w:pPr>
    </w:p>
    <w:sectPr w:rsidR="007245A7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012A2C" w16cex:dateUtc="2022-10-24T13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20AB7A1" w16cid:durableId="2700023D"/>
  <w16cid:commentId w16cid:paraId="72147898" w16cid:durableId="2700023E"/>
  <w16cid:commentId w16cid:paraId="6A5236A6" w16cid:durableId="27012A2C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B36DD"/>
    <w:multiLevelType w:val="multilevel"/>
    <w:tmpl w:val="E6D63B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04E7748"/>
    <w:multiLevelType w:val="hybridMultilevel"/>
    <w:tmpl w:val="BD80769A"/>
    <w:lvl w:ilvl="0" w:tplc="75222D6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2392DE2"/>
    <w:multiLevelType w:val="hybridMultilevel"/>
    <w:tmpl w:val="9BDE1D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E24460"/>
    <w:multiLevelType w:val="multilevel"/>
    <w:tmpl w:val="D46A5E0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975189A"/>
    <w:multiLevelType w:val="hybridMultilevel"/>
    <w:tmpl w:val="ABAA2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6A1B87"/>
    <w:multiLevelType w:val="multilevel"/>
    <w:tmpl w:val="A6AEEFA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5FD6954"/>
    <w:multiLevelType w:val="hybridMultilevel"/>
    <w:tmpl w:val="258CBE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5A7"/>
    <w:rsid w:val="00003FEF"/>
    <w:rsid w:val="00085180"/>
    <w:rsid w:val="0025650B"/>
    <w:rsid w:val="00452963"/>
    <w:rsid w:val="00461E96"/>
    <w:rsid w:val="005C7B81"/>
    <w:rsid w:val="007245A7"/>
    <w:rsid w:val="0087087B"/>
    <w:rsid w:val="00944E79"/>
    <w:rsid w:val="00945CBE"/>
    <w:rsid w:val="00C0500C"/>
    <w:rsid w:val="00CB1A01"/>
    <w:rsid w:val="00D24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728EB"/>
  <w15:docId w15:val="{6D067101-B9DE-43DB-8551-905550E4D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kstkomentarza">
    <w:name w:val="annotation text"/>
    <w:basedOn w:val="Normalny"/>
    <w:link w:val="TekstkomentarzaZnak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7B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7B8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85180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5296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2963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45296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580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E_Barska</dc:creator>
  <cp:lastModifiedBy>AWF</cp:lastModifiedBy>
  <cp:revision>3</cp:revision>
  <dcterms:created xsi:type="dcterms:W3CDTF">2022-10-24T13:14:00Z</dcterms:created>
  <dcterms:modified xsi:type="dcterms:W3CDTF">2022-10-25T06:23:00Z</dcterms:modified>
</cp:coreProperties>
</file>